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C332" w14:textId="7914E972" w:rsidR="00D435DB" w:rsidRPr="00CE6119" w:rsidRDefault="00863C11" w:rsidP="00863C11">
      <w:pPr>
        <w:pStyle w:val="Overskrift1"/>
        <w:rPr>
          <w:rFonts w:ascii="Calibri" w:hAnsi="Calibri" w:cs="Calibri"/>
          <w:color w:val="auto"/>
        </w:rPr>
      </w:pPr>
      <w:r w:rsidRPr="00CE6119">
        <w:rPr>
          <w:rFonts w:ascii="Calibri" w:hAnsi="Calibri" w:cs="Calibri"/>
          <w:color w:val="auto"/>
        </w:rPr>
        <w:t>Årshjul – NIS2-aktiviteter</w:t>
      </w:r>
    </w:p>
    <w:p w14:paraId="440E1023" w14:textId="30B9C6BC" w:rsidR="00780FE7" w:rsidRDefault="0057451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at understøtte en systematisk og dokumenterbar efterlevelse af NIS2-loven og NIS2-direktivet anbefales et årshjul, der strukturerer de tilbagevendende aktiviteter, som kommunen med rimelighed </w:t>
      </w:r>
      <w:r w:rsidR="005F0E43">
        <w:rPr>
          <w:rFonts w:ascii="Calibri" w:hAnsi="Calibri" w:cs="Calibri"/>
        </w:rPr>
        <w:t xml:space="preserve">kan planlægge og gentage. Årshjulet fungerer som et operationelt styringsværktøj, der </w:t>
      </w:r>
      <w:r w:rsidR="00C75D21">
        <w:rPr>
          <w:rFonts w:ascii="Calibri" w:hAnsi="Calibri" w:cs="Calibri"/>
        </w:rPr>
        <w:t>kan skabe</w:t>
      </w:r>
      <w:r w:rsidR="005F0E43">
        <w:rPr>
          <w:rFonts w:ascii="Calibri" w:hAnsi="Calibri" w:cs="Calibri"/>
        </w:rPr>
        <w:t xml:space="preserve"> overblik, kontinuitet og forankring</w:t>
      </w:r>
      <w:r w:rsidR="00DA33F7">
        <w:rPr>
          <w:rFonts w:ascii="Calibri" w:hAnsi="Calibri" w:cs="Calibri"/>
        </w:rPr>
        <w:t xml:space="preserve"> af </w:t>
      </w:r>
      <w:proofErr w:type="spellStart"/>
      <w:r w:rsidR="00DA33F7">
        <w:rPr>
          <w:rFonts w:ascii="Calibri" w:hAnsi="Calibri" w:cs="Calibri"/>
        </w:rPr>
        <w:t>cybersikkerhedsarbejdet</w:t>
      </w:r>
      <w:proofErr w:type="spellEnd"/>
      <w:r w:rsidR="00DA33F7">
        <w:rPr>
          <w:rFonts w:ascii="Calibri" w:hAnsi="Calibri" w:cs="Calibri"/>
        </w:rPr>
        <w:t xml:space="preserve"> på tværs af roller og funktioner.</w:t>
      </w:r>
    </w:p>
    <w:p w14:paraId="1DADAE17" w14:textId="50AEF289" w:rsidR="002E1284" w:rsidRDefault="002E1284">
      <w:pPr>
        <w:rPr>
          <w:rFonts w:ascii="Calibri" w:hAnsi="Calibri" w:cs="Calibri"/>
        </w:rPr>
      </w:pPr>
      <w:r>
        <w:rPr>
          <w:rFonts w:ascii="Calibri" w:hAnsi="Calibri" w:cs="Calibri"/>
        </w:rPr>
        <w:t>Årshjulet er ikke en fast standard</w:t>
      </w:r>
      <w:r w:rsidR="007C217F">
        <w:rPr>
          <w:rFonts w:ascii="Calibri" w:hAnsi="Calibri" w:cs="Calibri"/>
        </w:rPr>
        <w:t xml:space="preserve"> men en ramme. Den enkelte kommune skal selv vurdere og fastsætte både opgaver og </w:t>
      </w:r>
      <w:r w:rsidR="004208FE">
        <w:rPr>
          <w:rFonts w:ascii="Calibri" w:hAnsi="Calibri" w:cs="Calibri"/>
        </w:rPr>
        <w:t>frekvenser</w:t>
      </w:r>
      <w:r w:rsidR="007C217F">
        <w:rPr>
          <w:rFonts w:ascii="Calibri" w:hAnsi="Calibri" w:cs="Calibri"/>
        </w:rPr>
        <w:t xml:space="preserve"> ud fra en risikobaseret tilgang, der tager højde for</w:t>
      </w:r>
      <w:r w:rsidR="00387B19">
        <w:rPr>
          <w:rFonts w:ascii="Calibri" w:hAnsi="Calibri" w:cs="Calibri"/>
        </w:rPr>
        <w:t xml:space="preserve"> lokale forhold, organisatorisk modenhed og det aktuelle trusselsbillede. På den måde sikres, at aktiviteterne tilpasses kommunen</w:t>
      </w:r>
      <w:r w:rsidR="004208FE">
        <w:rPr>
          <w:rFonts w:ascii="Calibri" w:hAnsi="Calibri" w:cs="Calibri"/>
        </w:rPr>
        <w:t>s konkretet behov og prioriteringer, samtidig med at governance og dokumentation fastholdes.</w:t>
      </w:r>
    </w:p>
    <w:p w14:paraId="4525501E" w14:textId="23D0F54F" w:rsidR="00DA33F7" w:rsidRDefault="00DA33F7">
      <w:pPr>
        <w:rPr>
          <w:rFonts w:ascii="Calibri" w:hAnsi="Calibri" w:cs="Calibri"/>
        </w:rPr>
      </w:pPr>
      <w:r>
        <w:rPr>
          <w:rFonts w:ascii="Calibri" w:hAnsi="Calibri" w:cs="Calibri"/>
        </w:rPr>
        <w:t>Modellen er udviklet med henblik på at:</w:t>
      </w:r>
    </w:p>
    <w:p w14:paraId="4B7894D3" w14:textId="73C8F4D5" w:rsidR="00DA33F7" w:rsidRDefault="00DA33F7" w:rsidP="00DA33F7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Operationalisere NIS2-krav om risikobaseret tilgang, governance og dokumentation</w:t>
      </w:r>
    </w:p>
    <w:p w14:paraId="757EA1AB" w14:textId="060B994C" w:rsidR="00DA33F7" w:rsidRDefault="00DA33F7" w:rsidP="00DA33F7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Sikre løbende opfølgning, kontrol og forbedring af sikkerhedsindsatser</w:t>
      </w:r>
    </w:p>
    <w:p w14:paraId="7A8FED94" w14:textId="5908E3E3" w:rsidR="00DA33F7" w:rsidRDefault="00A6734F" w:rsidP="00DA33F7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Skabe sammenhæng mellem strategiske mål og daglige aktiviteter</w:t>
      </w:r>
    </w:p>
    <w:p w14:paraId="44CF8111" w14:textId="49A39EC1" w:rsidR="00A6734F" w:rsidRDefault="00A6734F" w:rsidP="00DA33F7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Understøtte både ledelsesinvolvering og tværgående ansvar for compliance</w:t>
      </w:r>
    </w:p>
    <w:p w14:paraId="2BD89FE4" w14:textId="6EBC5E10" w:rsidR="00A6734F" w:rsidRDefault="00A6734F" w:rsidP="00A6734F">
      <w:pPr>
        <w:rPr>
          <w:rFonts w:ascii="Calibri" w:hAnsi="Calibri" w:cs="Calibri"/>
        </w:rPr>
      </w:pPr>
      <w:r>
        <w:rPr>
          <w:rFonts w:ascii="Calibri" w:hAnsi="Calibri" w:cs="Calibri"/>
        </w:rPr>
        <w:t>Aktiviteterne er inddelt efter frekvens (årligt, halvårligt, kvartalsvist) og mærket med aktivitetstype</w:t>
      </w:r>
      <w:r w:rsidR="00B8382A">
        <w:rPr>
          <w:rFonts w:ascii="Calibri" w:hAnsi="Calibri" w:cs="Calibri"/>
        </w:rPr>
        <w:t xml:space="preserve"> (f.eks. kontrol, rapportering, opfølgning), så kommunen kan navigere i opgaverne med fokus på </w:t>
      </w:r>
      <w:r w:rsidR="00A4333F">
        <w:rPr>
          <w:rFonts w:ascii="Calibri" w:hAnsi="Calibri" w:cs="Calibri"/>
        </w:rPr>
        <w:t>strategisk</w:t>
      </w:r>
      <w:r w:rsidR="00B8382A">
        <w:rPr>
          <w:rFonts w:ascii="Calibri" w:hAnsi="Calibri" w:cs="Calibri"/>
        </w:rPr>
        <w:t xml:space="preserve"> betydning og organisatorisk modenhed.</w:t>
      </w:r>
    </w:p>
    <w:p w14:paraId="097F5FDA" w14:textId="2170FF6A" w:rsidR="00B8382A" w:rsidRPr="00A6734F" w:rsidRDefault="00A4333F" w:rsidP="00A6734F">
      <w:pPr>
        <w:rPr>
          <w:rFonts w:ascii="Calibri" w:hAnsi="Calibri" w:cs="Calibri"/>
        </w:rPr>
      </w:pPr>
      <w:r>
        <w:rPr>
          <w:rFonts w:ascii="Calibri" w:hAnsi="Calibri" w:cs="Calibri"/>
        </w:rPr>
        <w:t>Årshjulet bør løbende evalueres og tilpasses ændringer i trusselsbillede, lovgivning og organisatoriske forhold. Det er ikke blot en planlægnin</w:t>
      </w:r>
      <w:r w:rsidR="00871025">
        <w:rPr>
          <w:rFonts w:ascii="Calibri" w:hAnsi="Calibri" w:cs="Calibri"/>
        </w:rPr>
        <w:t>g</w:t>
      </w:r>
      <w:r>
        <w:rPr>
          <w:rFonts w:ascii="Calibri" w:hAnsi="Calibri" w:cs="Calibri"/>
        </w:rPr>
        <w:t>smekan</w:t>
      </w:r>
      <w:r w:rsidR="00AE559A">
        <w:rPr>
          <w:rFonts w:ascii="Calibri" w:hAnsi="Calibri" w:cs="Calibri"/>
        </w:rPr>
        <w:t>isme</w:t>
      </w:r>
      <w:r>
        <w:rPr>
          <w:rFonts w:ascii="Calibri" w:hAnsi="Calibri" w:cs="Calibri"/>
        </w:rPr>
        <w:t xml:space="preserve">, men et centralt </w:t>
      </w:r>
      <w:r w:rsidR="00871025">
        <w:rPr>
          <w:rFonts w:ascii="Calibri" w:hAnsi="Calibri" w:cs="Calibri"/>
        </w:rPr>
        <w:t>værktøj</w:t>
      </w:r>
      <w:r>
        <w:rPr>
          <w:rFonts w:ascii="Calibri" w:hAnsi="Calibri" w:cs="Calibri"/>
        </w:rPr>
        <w:t xml:space="preserve"> til at sikre, at NIS2-</w:t>
      </w:r>
      <w:r w:rsidR="006E3FFE">
        <w:rPr>
          <w:rFonts w:ascii="Calibri" w:hAnsi="Calibri" w:cs="Calibri"/>
        </w:rPr>
        <w:t>efterlevelse</w:t>
      </w:r>
      <w:r>
        <w:rPr>
          <w:rFonts w:ascii="Calibri" w:hAnsi="Calibri" w:cs="Calibri"/>
        </w:rPr>
        <w:t xml:space="preserve"> bliver en </w:t>
      </w:r>
      <w:r w:rsidR="00B8522A">
        <w:rPr>
          <w:rFonts w:ascii="Calibri" w:hAnsi="Calibri" w:cs="Calibri"/>
        </w:rPr>
        <w:t>integreret og vedvarende del af kommunens praksis</w:t>
      </w:r>
      <w:r w:rsidR="00AE559A">
        <w:rPr>
          <w:rFonts w:ascii="Calibri" w:hAnsi="Calibri" w:cs="Calibri"/>
        </w:rPr>
        <w:t xml:space="preserve"> på tværs af governance, jura og teknik.</w:t>
      </w:r>
    </w:p>
    <w:p w14:paraId="25A4AB06" w14:textId="25EC1ADF" w:rsidR="00B6113F" w:rsidRDefault="0041138C">
      <w:pPr>
        <w:rPr>
          <w:rFonts w:ascii="Calibri" w:hAnsi="Calibri" w:cs="Calibri"/>
        </w:rPr>
      </w:pPr>
      <w:r w:rsidRPr="006D2612">
        <w:rPr>
          <w:rFonts w:ascii="Calibri" w:hAnsi="Calibri" w:cs="Calibri"/>
        </w:rPr>
        <w:t xml:space="preserve">Enkeltstående aktiviteter, som </w:t>
      </w:r>
      <w:r w:rsidR="00FA486B" w:rsidRPr="006D2612">
        <w:rPr>
          <w:rFonts w:ascii="Calibri" w:hAnsi="Calibri" w:cs="Calibri"/>
        </w:rPr>
        <w:t xml:space="preserve">f.eks. implementering af nyt SIEM-system eller </w:t>
      </w:r>
      <w:proofErr w:type="spellStart"/>
      <w:r w:rsidR="00FA486B" w:rsidRPr="006D2612">
        <w:rPr>
          <w:rFonts w:ascii="Calibri" w:hAnsi="Calibri" w:cs="Calibri"/>
        </w:rPr>
        <w:t>onboarding</w:t>
      </w:r>
      <w:proofErr w:type="spellEnd"/>
      <w:r w:rsidR="00FA486B" w:rsidRPr="006D2612">
        <w:rPr>
          <w:rFonts w:ascii="Calibri" w:hAnsi="Calibri" w:cs="Calibri"/>
        </w:rPr>
        <w:t xml:space="preserve"> af ny leverandør, hører hjemme i en supplerende projektplan eller </w:t>
      </w:r>
      <w:proofErr w:type="spellStart"/>
      <w:r w:rsidR="00FA486B" w:rsidRPr="006D2612">
        <w:rPr>
          <w:rFonts w:ascii="Calibri" w:hAnsi="Calibri" w:cs="Calibri"/>
        </w:rPr>
        <w:t>roadmap</w:t>
      </w:r>
      <w:proofErr w:type="spellEnd"/>
      <w:r w:rsidR="00FA486B" w:rsidRPr="006D2612">
        <w:rPr>
          <w:rFonts w:ascii="Calibri" w:hAnsi="Calibri" w:cs="Calibri"/>
        </w:rPr>
        <w:t>, ikke i selv</w:t>
      </w:r>
      <w:r w:rsidR="00F66841">
        <w:rPr>
          <w:rFonts w:ascii="Calibri" w:hAnsi="Calibri" w:cs="Calibri"/>
        </w:rPr>
        <w:t>e</w:t>
      </w:r>
      <w:r w:rsidR="00FA486B" w:rsidRPr="006D2612">
        <w:rPr>
          <w:rFonts w:ascii="Calibri" w:hAnsi="Calibri" w:cs="Calibri"/>
        </w:rPr>
        <w:t xml:space="preserve"> årshjulet.</w:t>
      </w:r>
    </w:p>
    <w:p w14:paraId="2D5DCB7F" w14:textId="414CFE49" w:rsidR="00CD74CD" w:rsidRPr="006D2612" w:rsidRDefault="00CD74CD">
      <w:pPr>
        <w:rPr>
          <w:rFonts w:ascii="Calibri" w:hAnsi="Calibri" w:cs="Calibri"/>
        </w:rPr>
      </w:pPr>
      <w:r w:rsidRPr="00A179C8">
        <w:rPr>
          <w:rFonts w:ascii="Calibri" w:hAnsi="Calibri" w:cs="Calibri"/>
        </w:rPr>
        <w:t xml:space="preserve">Det </w:t>
      </w:r>
      <w:r w:rsidR="00A179C8" w:rsidRPr="00A179C8">
        <w:rPr>
          <w:rFonts w:ascii="Calibri" w:hAnsi="Calibri" w:cs="Calibri"/>
        </w:rPr>
        <w:t>anbefales</w:t>
      </w:r>
      <w:r w:rsidRPr="00A179C8">
        <w:rPr>
          <w:rFonts w:ascii="Calibri" w:hAnsi="Calibri" w:cs="Calibri"/>
        </w:rPr>
        <w:t xml:space="preserve"> at sammentænke </w:t>
      </w:r>
      <w:r w:rsidR="00633A9B" w:rsidRPr="00A179C8">
        <w:rPr>
          <w:rFonts w:ascii="Calibri" w:hAnsi="Calibri" w:cs="Calibri"/>
        </w:rPr>
        <w:t>NIS2-aktiviteterne med årshjul for informa</w:t>
      </w:r>
      <w:r w:rsidR="00802E6F" w:rsidRPr="00A179C8">
        <w:rPr>
          <w:rFonts w:ascii="Calibri" w:hAnsi="Calibri" w:cs="Calibri"/>
        </w:rPr>
        <w:t>t</w:t>
      </w:r>
      <w:r w:rsidR="00633A9B" w:rsidRPr="00A179C8">
        <w:rPr>
          <w:rFonts w:ascii="Calibri" w:hAnsi="Calibri" w:cs="Calibri"/>
        </w:rPr>
        <w:t>ionssikkerhed og/eller databeskyttelse.</w:t>
      </w:r>
      <w:r w:rsidR="00406CEB" w:rsidRPr="00A179C8">
        <w:rPr>
          <w:rFonts w:ascii="Calibri" w:hAnsi="Calibri" w:cs="Calibri"/>
        </w:rPr>
        <w:t xml:space="preserve"> Læs mere i </w:t>
      </w:r>
      <w:hyperlink r:id="rId9" w:tooltip="#AutoGenerate" w:history="1">
        <w:r w:rsidR="00406CEB" w:rsidRPr="00A179C8">
          <w:rPr>
            <w:rStyle w:val="Hyperlink"/>
            <w:rFonts w:ascii="Calibri" w:hAnsi="Calibri" w:cs="Calibri"/>
          </w:rPr>
          <w:t>KL’s videncenter</w:t>
        </w:r>
      </w:hyperlink>
    </w:p>
    <w:p w14:paraId="24E49905" w14:textId="46A7B45C" w:rsidR="00FA486B" w:rsidRPr="00CE6119" w:rsidRDefault="00273BFD" w:rsidP="00273BFD">
      <w:pPr>
        <w:pStyle w:val="Overskrift2"/>
        <w:rPr>
          <w:rFonts w:ascii="Calibri" w:hAnsi="Calibri" w:cs="Calibri"/>
          <w:color w:val="auto"/>
        </w:rPr>
      </w:pPr>
      <w:r w:rsidRPr="00CE6119">
        <w:rPr>
          <w:rFonts w:ascii="Calibri" w:hAnsi="Calibri" w:cs="Calibri"/>
          <w:color w:val="auto"/>
        </w:rPr>
        <w:lastRenderedPageBreak/>
        <w:t>A</w:t>
      </w:r>
      <w:r w:rsidR="00B65909" w:rsidRPr="00CE6119">
        <w:rPr>
          <w:rFonts w:ascii="Calibri" w:hAnsi="Calibri" w:cs="Calibri"/>
          <w:color w:val="auto"/>
        </w:rPr>
        <w:t>ktiviteter – årshjul og supplerende plan</w:t>
      </w:r>
    </w:p>
    <w:p w14:paraId="1E8AAF4D" w14:textId="29406193" w:rsidR="00273BFD" w:rsidRPr="00B444C4" w:rsidRDefault="008F19D7" w:rsidP="00273BF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Eksempler på aktiviteter</w:t>
      </w:r>
      <w:r w:rsidR="00B65909">
        <w:rPr>
          <w:rFonts w:ascii="Calibri" w:hAnsi="Calibri" w:cs="Calibri"/>
          <w:b/>
          <w:bCs/>
        </w:rPr>
        <w:t xml:space="preserve"> til </w:t>
      </w:r>
      <w:r w:rsidR="00B444C4">
        <w:rPr>
          <w:rFonts w:ascii="Calibri" w:hAnsi="Calibri" w:cs="Calibri"/>
          <w:b/>
          <w:bCs/>
        </w:rPr>
        <w:t>å</w:t>
      </w:r>
      <w:r w:rsidR="00273BFD" w:rsidRPr="006D2612">
        <w:rPr>
          <w:rFonts w:ascii="Calibri" w:hAnsi="Calibri" w:cs="Calibri"/>
          <w:b/>
          <w:bCs/>
        </w:rPr>
        <w:t>rshjul: Gentagende aktiviteter</w:t>
      </w:r>
    </w:p>
    <w:p w14:paraId="7CCE2966" w14:textId="40558C53" w:rsidR="00273BFD" w:rsidRPr="006D2612" w:rsidRDefault="00273BFD" w:rsidP="00273BF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D2612">
        <w:rPr>
          <w:rFonts w:ascii="Calibri" w:hAnsi="Calibri" w:cs="Calibri"/>
        </w:rPr>
        <w:t xml:space="preserve">Politikevaluering og </w:t>
      </w:r>
      <w:r w:rsidR="00F34571">
        <w:rPr>
          <w:rFonts w:ascii="Calibri" w:hAnsi="Calibri" w:cs="Calibri"/>
        </w:rPr>
        <w:t>-</w:t>
      </w:r>
      <w:r w:rsidRPr="006D2612">
        <w:rPr>
          <w:rFonts w:ascii="Calibri" w:hAnsi="Calibri" w:cs="Calibri"/>
        </w:rPr>
        <w:t>opdatering</w:t>
      </w:r>
    </w:p>
    <w:p w14:paraId="7247B546" w14:textId="012CC51E" w:rsidR="00273BFD" w:rsidRPr="006D2612" w:rsidRDefault="00273BFD" w:rsidP="00273BF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6D2612">
        <w:rPr>
          <w:rFonts w:ascii="Calibri" w:hAnsi="Calibri" w:cs="Calibri"/>
        </w:rPr>
        <w:t>Awareness</w:t>
      </w:r>
      <w:proofErr w:type="spellEnd"/>
      <w:r w:rsidRPr="006D2612">
        <w:rPr>
          <w:rFonts w:ascii="Calibri" w:hAnsi="Calibri" w:cs="Calibri"/>
        </w:rPr>
        <w:t>-indsatser</w:t>
      </w:r>
    </w:p>
    <w:p w14:paraId="21BCE61F" w14:textId="0894C8C5" w:rsidR="00273BFD" w:rsidRPr="006D2612" w:rsidRDefault="00273BFD" w:rsidP="00273BF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D2612">
        <w:rPr>
          <w:rFonts w:ascii="Calibri" w:hAnsi="Calibri" w:cs="Calibri"/>
        </w:rPr>
        <w:t>Ledelsesrapportering</w:t>
      </w:r>
    </w:p>
    <w:p w14:paraId="114E4AB4" w14:textId="6DD5F3BA" w:rsidR="00273BFD" w:rsidRPr="006D2612" w:rsidRDefault="00273BFD" w:rsidP="00273BF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D2612">
        <w:rPr>
          <w:rFonts w:ascii="Calibri" w:hAnsi="Calibri" w:cs="Calibri"/>
        </w:rPr>
        <w:t>Risikovurdering</w:t>
      </w:r>
    </w:p>
    <w:p w14:paraId="78F6E140" w14:textId="5CC7AA82" w:rsidR="00273BFD" w:rsidRPr="006D2612" w:rsidRDefault="00273BFD" w:rsidP="00273BF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D2612">
        <w:rPr>
          <w:rFonts w:ascii="Calibri" w:hAnsi="Calibri" w:cs="Calibri"/>
        </w:rPr>
        <w:t>Kontrol af adgangsstyring</w:t>
      </w:r>
    </w:p>
    <w:p w14:paraId="712183B0" w14:textId="322C5CC5" w:rsidR="00273BFD" w:rsidRPr="006D2612" w:rsidRDefault="00273BFD" w:rsidP="00273BF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D2612">
        <w:rPr>
          <w:rFonts w:ascii="Calibri" w:hAnsi="Calibri" w:cs="Calibri"/>
        </w:rPr>
        <w:t>Test af beredskabsplan</w:t>
      </w:r>
    </w:p>
    <w:p w14:paraId="01BCCD6B" w14:textId="0E36E913" w:rsidR="00A946CD" w:rsidRPr="00A946CD" w:rsidRDefault="008F19D7" w:rsidP="00A946C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Eksempler på</w:t>
      </w:r>
      <w:r w:rsidR="00B444C4">
        <w:rPr>
          <w:rFonts w:ascii="Calibri" w:hAnsi="Calibri" w:cs="Calibri"/>
          <w:b/>
          <w:bCs/>
        </w:rPr>
        <w:t xml:space="preserve"> s</w:t>
      </w:r>
      <w:r w:rsidR="00A946CD" w:rsidRPr="00A946CD">
        <w:rPr>
          <w:rFonts w:ascii="Calibri" w:hAnsi="Calibri" w:cs="Calibri"/>
          <w:b/>
          <w:bCs/>
        </w:rPr>
        <w:t>upplerende plan: Enkeltstående aktiviteter</w:t>
      </w:r>
      <w:r w:rsidR="000C7CE7">
        <w:rPr>
          <w:rFonts w:ascii="Calibri" w:hAnsi="Calibri" w:cs="Calibri"/>
        </w:rPr>
        <w:t xml:space="preserve"> </w:t>
      </w:r>
      <w:r w:rsidR="00477A8D">
        <w:rPr>
          <w:rFonts w:ascii="Calibri" w:hAnsi="Calibri" w:cs="Calibri"/>
        </w:rPr>
        <w:t>–</w:t>
      </w:r>
      <w:r w:rsidR="000C7CE7">
        <w:rPr>
          <w:rFonts w:ascii="Calibri" w:hAnsi="Calibri" w:cs="Calibri"/>
        </w:rPr>
        <w:t xml:space="preserve"> aktivite</w:t>
      </w:r>
      <w:r w:rsidR="005757BF">
        <w:rPr>
          <w:rFonts w:ascii="Calibri" w:hAnsi="Calibri" w:cs="Calibri"/>
        </w:rPr>
        <w:t>terne</w:t>
      </w:r>
      <w:r w:rsidR="00477A8D">
        <w:rPr>
          <w:rFonts w:ascii="Calibri" w:hAnsi="Calibri" w:cs="Calibri"/>
        </w:rPr>
        <w:t>,</w:t>
      </w:r>
      <w:r w:rsidR="005757BF">
        <w:rPr>
          <w:rFonts w:ascii="Calibri" w:hAnsi="Calibri" w:cs="Calibri"/>
        </w:rPr>
        <w:t xml:space="preserve"> i den supplerende plan</w:t>
      </w:r>
      <w:r w:rsidR="00477A8D">
        <w:rPr>
          <w:rFonts w:ascii="Calibri" w:hAnsi="Calibri" w:cs="Calibri"/>
        </w:rPr>
        <w:t>,</w:t>
      </w:r>
      <w:r w:rsidR="005757BF">
        <w:rPr>
          <w:rFonts w:ascii="Calibri" w:hAnsi="Calibri" w:cs="Calibri"/>
        </w:rPr>
        <w:t xml:space="preserve"> går ofte forud for aktiviteterne i årshjulet og er en præmis for at indsætte opgaver i årshjulet. F.eks. skal en politik først etableres før </w:t>
      </w:r>
      <w:r w:rsidR="00494AA9">
        <w:rPr>
          <w:rFonts w:ascii="Calibri" w:hAnsi="Calibri" w:cs="Calibri"/>
        </w:rPr>
        <w:t xml:space="preserve">et årligt </w:t>
      </w:r>
      <w:proofErr w:type="spellStart"/>
      <w:r w:rsidR="00494AA9">
        <w:rPr>
          <w:rFonts w:ascii="Calibri" w:hAnsi="Calibri" w:cs="Calibri"/>
        </w:rPr>
        <w:t>review</w:t>
      </w:r>
      <w:proofErr w:type="spellEnd"/>
      <w:r w:rsidR="00494AA9">
        <w:rPr>
          <w:rFonts w:ascii="Calibri" w:hAnsi="Calibri" w:cs="Calibri"/>
        </w:rPr>
        <w:t xml:space="preserve"> giver værdi.</w:t>
      </w:r>
    </w:p>
    <w:p w14:paraId="43213A71" w14:textId="77777777" w:rsidR="00A946CD" w:rsidRPr="00A946CD" w:rsidRDefault="00A946CD" w:rsidP="00A946CD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A946CD">
        <w:rPr>
          <w:rFonts w:ascii="Calibri" w:hAnsi="Calibri" w:cs="Calibri"/>
        </w:rPr>
        <w:t>Implementering af nye systemer</w:t>
      </w:r>
    </w:p>
    <w:p w14:paraId="6CCBE036" w14:textId="77777777" w:rsidR="00A946CD" w:rsidRPr="00A946CD" w:rsidRDefault="00A946CD" w:rsidP="00A946CD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A946CD">
        <w:rPr>
          <w:rFonts w:ascii="Calibri" w:hAnsi="Calibri" w:cs="Calibri"/>
        </w:rPr>
        <w:t>Engangsprojekter (fx ISO-certificering)</w:t>
      </w:r>
    </w:p>
    <w:p w14:paraId="64655C52" w14:textId="77777777" w:rsidR="00A946CD" w:rsidRPr="00A946CD" w:rsidRDefault="00A946CD" w:rsidP="00A946CD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A946CD">
        <w:rPr>
          <w:rFonts w:ascii="Calibri" w:hAnsi="Calibri" w:cs="Calibri"/>
        </w:rPr>
        <w:t>Reaktion på større hændelser</w:t>
      </w:r>
    </w:p>
    <w:p w14:paraId="1F93946D" w14:textId="77777777" w:rsidR="00A946CD" w:rsidRPr="00A946CD" w:rsidRDefault="00A946CD" w:rsidP="00A946CD">
      <w:pPr>
        <w:numPr>
          <w:ilvl w:val="0"/>
          <w:numId w:val="2"/>
        </w:numPr>
        <w:rPr>
          <w:rFonts w:ascii="Calibri" w:hAnsi="Calibri" w:cs="Calibri"/>
        </w:rPr>
      </w:pPr>
      <w:r w:rsidRPr="00A946CD">
        <w:rPr>
          <w:rFonts w:ascii="Calibri" w:hAnsi="Calibri" w:cs="Calibri"/>
        </w:rPr>
        <w:t>Strategisk omstrukturering af governance</w:t>
      </w:r>
    </w:p>
    <w:p w14:paraId="36F3F50C" w14:textId="77777777" w:rsidR="00273BFD" w:rsidRDefault="00273BFD" w:rsidP="00273BFD">
      <w:pPr>
        <w:rPr>
          <w:rFonts w:ascii="Calibri" w:hAnsi="Calibri" w:cs="Calibri"/>
        </w:rPr>
      </w:pPr>
    </w:p>
    <w:p w14:paraId="5A55693C" w14:textId="4B1518AC" w:rsidR="00473A55" w:rsidRPr="008B2021" w:rsidRDefault="00373215" w:rsidP="00273BFD">
      <w:pPr>
        <w:rPr>
          <w:rFonts w:ascii="Calibri" w:hAnsi="Calibri" w:cs="Calibri"/>
          <w:i/>
          <w:iCs/>
        </w:rPr>
      </w:pPr>
      <w:r w:rsidRPr="004F6D9B">
        <w:rPr>
          <w:rFonts w:ascii="Calibri" w:hAnsi="Calibri" w:cs="Calibri"/>
          <w:b/>
          <w:bCs/>
        </w:rPr>
        <w:t xml:space="preserve">Eksempler på NIS2 </w:t>
      </w:r>
      <w:r w:rsidR="004F6D9B" w:rsidRPr="004F6D9B">
        <w:rPr>
          <w:rFonts w:ascii="Calibri" w:hAnsi="Calibri" w:cs="Calibri"/>
          <w:b/>
          <w:bCs/>
        </w:rPr>
        <w:t>aktiviteter i årshjul</w:t>
      </w:r>
      <w:r w:rsidR="008B2021">
        <w:rPr>
          <w:rFonts w:ascii="Calibri" w:hAnsi="Calibri" w:cs="Calibri"/>
          <w:b/>
          <w:bCs/>
        </w:rPr>
        <w:br/>
      </w:r>
      <w:r w:rsidR="008B2021">
        <w:rPr>
          <w:rFonts w:ascii="Calibri" w:hAnsi="Calibri" w:cs="Calibri"/>
          <w:i/>
          <w:iCs/>
        </w:rPr>
        <w:t xml:space="preserve">Opsat </w:t>
      </w:r>
      <w:r w:rsidR="00E37E89">
        <w:rPr>
          <w:rFonts w:ascii="Calibri" w:hAnsi="Calibri" w:cs="Calibri"/>
          <w:i/>
          <w:iCs/>
        </w:rPr>
        <w:t xml:space="preserve">med samme metode som årshjulaktiviteterne </w:t>
      </w:r>
      <w:r w:rsidR="00E37E89" w:rsidRPr="00A179C8">
        <w:rPr>
          <w:rFonts w:ascii="Calibri" w:hAnsi="Calibri" w:cs="Calibri"/>
          <w:i/>
          <w:iCs/>
        </w:rPr>
        <w:t>anbefalet i KL’s vejledning for Informationssikkerheds</w:t>
      </w:r>
      <w:r w:rsidR="00CF54FA" w:rsidRPr="00A179C8">
        <w:rPr>
          <w:rFonts w:ascii="Calibri" w:hAnsi="Calibri" w:cs="Calibri"/>
          <w:i/>
          <w:iCs/>
        </w:rPr>
        <w:t>-</w:t>
      </w:r>
      <w:r w:rsidR="00E37E89" w:rsidRPr="00A179C8">
        <w:rPr>
          <w:rFonts w:ascii="Calibri" w:hAnsi="Calibri" w:cs="Calibri"/>
          <w:i/>
          <w:iCs/>
        </w:rPr>
        <w:t>årshjul</w:t>
      </w:r>
      <w:r w:rsidR="00473A55">
        <w:rPr>
          <w:rFonts w:ascii="Calibri" w:hAnsi="Calibri" w:cs="Calibri"/>
          <w:i/>
          <w:iCs/>
        </w:rPr>
        <w:t>.</w:t>
      </w:r>
      <w:r w:rsidR="00473A55">
        <w:rPr>
          <w:rFonts w:ascii="Calibri" w:hAnsi="Calibri" w:cs="Calibri"/>
          <w:i/>
          <w:iCs/>
        </w:rPr>
        <w:br/>
        <w:t>Lov-referencerne er ikke udtømmende.</w:t>
      </w:r>
    </w:p>
    <w:tbl>
      <w:tblPr>
        <w:tblStyle w:val="Tabel-Gitter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1276"/>
        <w:gridCol w:w="1559"/>
        <w:gridCol w:w="4536"/>
        <w:gridCol w:w="4253"/>
        <w:gridCol w:w="2126"/>
      </w:tblGrid>
      <w:tr w:rsidR="004F296A" w:rsidRPr="002D53FC" w14:paraId="0CB7C41F" w14:textId="22E3878F" w:rsidTr="00D65B9E">
        <w:trPr>
          <w:cantSplit/>
          <w:tblHeader/>
        </w:trPr>
        <w:tc>
          <w:tcPr>
            <w:tcW w:w="1276" w:type="dxa"/>
            <w:shd w:val="clear" w:color="auto" w:fill="215E99" w:themeFill="text2" w:themeFillTint="BF"/>
            <w:hideMark/>
          </w:tcPr>
          <w:p w14:paraId="1E6D4737" w14:textId="77777777" w:rsidR="004F296A" w:rsidRPr="002D53FC" w:rsidRDefault="004F296A" w:rsidP="00810F49">
            <w:pPr>
              <w:spacing w:after="160" w:line="278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Frekvens</w:t>
            </w:r>
          </w:p>
        </w:tc>
        <w:tc>
          <w:tcPr>
            <w:tcW w:w="1559" w:type="dxa"/>
            <w:shd w:val="clear" w:color="auto" w:fill="215E99" w:themeFill="text2" w:themeFillTint="BF"/>
            <w:hideMark/>
          </w:tcPr>
          <w:p w14:paraId="6151BD47" w14:textId="77777777" w:rsidR="004F296A" w:rsidRPr="002D53FC" w:rsidRDefault="004F296A" w:rsidP="00810F49">
            <w:pPr>
              <w:spacing w:after="160" w:line="278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Type</w:t>
            </w:r>
          </w:p>
        </w:tc>
        <w:tc>
          <w:tcPr>
            <w:tcW w:w="4536" w:type="dxa"/>
            <w:shd w:val="clear" w:color="auto" w:fill="215E99" w:themeFill="text2" w:themeFillTint="BF"/>
            <w:hideMark/>
          </w:tcPr>
          <w:p w14:paraId="17D744C2" w14:textId="77777777" w:rsidR="004F296A" w:rsidRPr="002D53FC" w:rsidRDefault="004F296A" w:rsidP="00810F49">
            <w:pPr>
              <w:spacing w:after="160" w:line="278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Opgave</w:t>
            </w:r>
          </w:p>
        </w:tc>
        <w:tc>
          <w:tcPr>
            <w:tcW w:w="4253" w:type="dxa"/>
            <w:shd w:val="clear" w:color="auto" w:fill="215E99" w:themeFill="text2" w:themeFillTint="BF"/>
            <w:hideMark/>
          </w:tcPr>
          <w:p w14:paraId="38757289" w14:textId="77777777" w:rsidR="004F296A" w:rsidRPr="002D53FC" w:rsidRDefault="004F296A" w:rsidP="00810F49">
            <w:pPr>
              <w:spacing w:after="160" w:line="278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Formål med opgaven</w:t>
            </w:r>
          </w:p>
        </w:tc>
        <w:tc>
          <w:tcPr>
            <w:tcW w:w="2126" w:type="dxa"/>
            <w:shd w:val="clear" w:color="auto" w:fill="215E99" w:themeFill="text2" w:themeFillTint="BF"/>
          </w:tcPr>
          <w:p w14:paraId="762755C8" w14:textId="366E67E1" w:rsidR="004F296A" w:rsidRPr="00552765" w:rsidRDefault="004F296A" w:rsidP="00810F4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55276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NIS2-lov</w:t>
            </w:r>
          </w:p>
        </w:tc>
      </w:tr>
      <w:tr w:rsidR="004F296A" w:rsidRPr="002D53FC" w14:paraId="549F62F2" w14:textId="1BCAC9D8" w:rsidTr="00D65B9E">
        <w:trPr>
          <w:cantSplit/>
        </w:trPr>
        <w:tc>
          <w:tcPr>
            <w:tcW w:w="1276" w:type="dxa"/>
            <w:shd w:val="clear" w:color="auto" w:fill="4C94D8" w:themeFill="text2" w:themeFillTint="80"/>
            <w:hideMark/>
          </w:tcPr>
          <w:p w14:paraId="1FE50D82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Årligt</w:t>
            </w:r>
          </w:p>
        </w:tc>
        <w:tc>
          <w:tcPr>
            <w:tcW w:w="1559" w:type="dxa"/>
            <w:hideMark/>
          </w:tcPr>
          <w:p w14:paraId="3143EDEC" w14:textId="0470FADB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Kontrol</w:t>
            </w:r>
          </w:p>
        </w:tc>
        <w:tc>
          <w:tcPr>
            <w:tcW w:w="4536" w:type="dxa"/>
            <w:hideMark/>
          </w:tcPr>
          <w:p w14:paraId="160B4B55" w14:textId="29E175B9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 xml:space="preserve">Revision af </w:t>
            </w: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cybersikkerhedspolitik</w:t>
            </w:r>
            <w:proofErr w:type="spellEnd"/>
          </w:p>
        </w:tc>
        <w:tc>
          <w:tcPr>
            <w:tcW w:w="4253" w:type="dxa"/>
            <w:hideMark/>
          </w:tcPr>
          <w:p w14:paraId="4A55B220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Sikre strategisk alignment og aktualitet</w:t>
            </w:r>
          </w:p>
        </w:tc>
        <w:tc>
          <w:tcPr>
            <w:tcW w:w="2126" w:type="dxa"/>
            <w:vAlign w:val="center"/>
          </w:tcPr>
          <w:p w14:paraId="3AB1F761" w14:textId="30917DB2" w:rsidR="004F296A" w:rsidRPr="00552765" w:rsidRDefault="004F296A" w:rsidP="00307223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>§ 6</w:t>
            </w:r>
          </w:p>
        </w:tc>
      </w:tr>
      <w:tr w:rsidR="004F296A" w:rsidRPr="002D53FC" w14:paraId="76AB0307" w14:textId="5C007A45" w:rsidTr="00D65B9E">
        <w:trPr>
          <w:cantSplit/>
        </w:trPr>
        <w:tc>
          <w:tcPr>
            <w:tcW w:w="1276" w:type="dxa"/>
            <w:shd w:val="clear" w:color="auto" w:fill="4C94D8" w:themeFill="text2" w:themeFillTint="80"/>
            <w:hideMark/>
          </w:tcPr>
          <w:p w14:paraId="01A3B848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Årligt</w:t>
            </w:r>
          </w:p>
        </w:tc>
        <w:tc>
          <w:tcPr>
            <w:tcW w:w="1559" w:type="dxa"/>
            <w:hideMark/>
          </w:tcPr>
          <w:p w14:paraId="00E157E2" w14:textId="44290FE9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Kontrol</w:t>
            </w:r>
          </w:p>
        </w:tc>
        <w:tc>
          <w:tcPr>
            <w:tcW w:w="4536" w:type="dxa"/>
            <w:hideMark/>
          </w:tcPr>
          <w:p w14:paraId="5FF535A5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Revision af beredskabsplaner</w:t>
            </w:r>
          </w:p>
        </w:tc>
        <w:tc>
          <w:tcPr>
            <w:tcW w:w="4253" w:type="dxa"/>
            <w:hideMark/>
          </w:tcPr>
          <w:p w14:paraId="5D17D749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Inddrage erfaringer og testresultater</w:t>
            </w:r>
          </w:p>
        </w:tc>
        <w:tc>
          <w:tcPr>
            <w:tcW w:w="2126" w:type="dxa"/>
            <w:vAlign w:val="center"/>
          </w:tcPr>
          <w:p w14:paraId="3F245A74" w14:textId="63BD6324" w:rsidR="004F296A" w:rsidRPr="00552765" w:rsidRDefault="004F296A" w:rsidP="00307223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>§ 12, § 13</w:t>
            </w:r>
          </w:p>
        </w:tc>
      </w:tr>
      <w:tr w:rsidR="004F296A" w:rsidRPr="002D53FC" w14:paraId="7F51FA87" w14:textId="50133ACC" w:rsidTr="00D65B9E">
        <w:trPr>
          <w:cantSplit/>
        </w:trPr>
        <w:tc>
          <w:tcPr>
            <w:tcW w:w="1276" w:type="dxa"/>
            <w:shd w:val="clear" w:color="auto" w:fill="4C94D8" w:themeFill="text2" w:themeFillTint="80"/>
            <w:hideMark/>
          </w:tcPr>
          <w:p w14:paraId="19A018E2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Årligt</w:t>
            </w:r>
          </w:p>
        </w:tc>
        <w:tc>
          <w:tcPr>
            <w:tcW w:w="1559" w:type="dxa"/>
            <w:hideMark/>
          </w:tcPr>
          <w:p w14:paraId="2DE75AF6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Kontrol</w:t>
            </w:r>
          </w:p>
        </w:tc>
        <w:tc>
          <w:tcPr>
            <w:tcW w:w="4536" w:type="dxa"/>
            <w:hideMark/>
          </w:tcPr>
          <w:p w14:paraId="1F996670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Test af beredskabsplan og hændelseshåndtering</w:t>
            </w:r>
          </w:p>
        </w:tc>
        <w:tc>
          <w:tcPr>
            <w:tcW w:w="4253" w:type="dxa"/>
            <w:hideMark/>
          </w:tcPr>
          <w:p w14:paraId="5AFB8CB6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Dokumentere evne til reaktion og genopretning</w:t>
            </w:r>
          </w:p>
        </w:tc>
        <w:tc>
          <w:tcPr>
            <w:tcW w:w="2126" w:type="dxa"/>
            <w:vAlign w:val="center"/>
          </w:tcPr>
          <w:p w14:paraId="0928F8FE" w14:textId="2DA4F093" w:rsidR="004F296A" w:rsidRPr="00552765" w:rsidRDefault="004F296A" w:rsidP="00307223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>§ 13</w:t>
            </w:r>
            <w:r>
              <w:rPr>
                <w:rFonts w:ascii="Calibri" w:hAnsi="Calibri" w:cs="Calibri"/>
                <w:sz w:val="22"/>
                <w:szCs w:val="22"/>
              </w:rPr>
              <w:t>, § 15</w:t>
            </w:r>
          </w:p>
        </w:tc>
      </w:tr>
      <w:tr w:rsidR="004F296A" w:rsidRPr="002D53FC" w14:paraId="0A857BCE" w14:textId="5761CE3B" w:rsidTr="00D65B9E">
        <w:trPr>
          <w:cantSplit/>
        </w:trPr>
        <w:tc>
          <w:tcPr>
            <w:tcW w:w="1276" w:type="dxa"/>
            <w:shd w:val="clear" w:color="auto" w:fill="4C94D8" w:themeFill="text2" w:themeFillTint="80"/>
            <w:hideMark/>
          </w:tcPr>
          <w:p w14:paraId="07051A23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lastRenderedPageBreak/>
              <w:t>Årligt</w:t>
            </w:r>
          </w:p>
        </w:tc>
        <w:tc>
          <w:tcPr>
            <w:tcW w:w="1559" w:type="dxa"/>
            <w:hideMark/>
          </w:tcPr>
          <w:p w14:paraId="69C86563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Kontrol</w:t>
            </w:r>
          </w:p>
        </w:tc>
        <w:tc>
          <w:tcPr>
            <w:tcW w:w="4536" w:type="dxa"/>
            <w:hideMark/>
          </w:tcPr>
          <w:p w14:paraId="47E67B67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Ekstern it-revision og stikprøver</w:t>
            </w:r>
          </w:p>
        </w:tc>
        <w:tc>
          <w:tcPr>
            <w:tcW w:w="4253" w:type="dxa"/>
            <w:hideMark/>
          </w:tcPr>
          <w:p w14:paraId="70190298" w14:textId="77777777" w:rsidR="004F296A" w:rsidRPr="002D53FC" w:rsidRDefault="004F296A" w:rsidP="0030722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Uafhængig vurdering af sikkerhedsniveau</w:t>
            </w:r>
          </w:p>
        </w:tc>
        <w:tc>
          <w:tcPr>
            <w:tcW w:w="2126" w:type="dxa"/>
            <w:vAlign w:val="center"/>
          </w:tcPr>
          <w:p w14:paraId="02EB21EE" w14:textId="6EEA7AD2" w:rsidR="004F296A" w:rsidRPr="00552765" w:rsidRDefault="004F296A" w:rsidP="003072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§ 6, § 12, § 13, </w:t>
            </w:r>
            <w:r w:rsidRPr="00552765">
              <w:rPr>
                <w:rFonts w:ascii="Calibri" w:hAnsi="Calibri" w:cs="Calibri"/>
                <w:sz w:val="22"/>
                <w:szCs w:val="22"/>
              </w:rPr>
              <w:t>§ 15</w:t>
            </w:r>
          </w:p>
        </w:tc>
      </w:tr>
      <w:tr w:rsidR="004F296A" w:rsidRPr="002D53FC" w14:paraId="53727C01" w14:textId="51A6126B" w:rsidTr="00D65B9E">
        <w:trPr>
          <w:cantSplit/>
        </w:trPr>
        <w:tc>
          <w:tcPr>
            <w:tcW w:w="1276" w:type="dxa"/>
            <w:shd w:val="clear" w:color="auto" w:fill="4C94D8" w:themeFill="text2" w:themeFillTint="80"/>
            <w:hideMark/>
          </w:tcPr>
          <w:p w14:paraId="3DEB479B" w14:textId="77777777" w:rsidR="004F296A" w:rsidRPr="002D53FC" w:rsidRDefault="004F296A" w:rsidP="00813091">
            <w:pPr>
              <w:spacing w:after="160" w:line="278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Årligt</w:t>
            </w:r>
          </w:p>
        </w:tc>
        <w:tc>
          <w:tcPr>
            <w:tcW w:w="1559" w:type="dxa"/>
            <w:hideMark/>
          </w:tcPr>
          <w:p w14:paraId="0626E0E0" w14:textId="77777777" w:rsidR="004F296A" w:rsidRPr="002D53FC" w:rsidRDefault="004F296A" w:rsidP="0081309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Rapportering</w:t>
            </w:r>
          </w:p>
        </w:tc>
        <w:tc>
          <w:tcPr>
            <w:tcW w:w="4536" w:type="dxa"/>
            <w:hideMark/>
          </w:tcPr>
          <w:p w14:paraId="1C8DA381" w14:textId="7654F052" w:rsidR="004F296A" w:rsidRPr="002D53FC" w:rsidRDefault="004F296A" w:rsidP="0081309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DPO-rapport om GDPR/NIS2-samspil</w:t>
            </w:r>
          </w:p>
        </w:tc>
        <w:tc>
          <w:tcPr>
            <w:tcW w:w="4253" w:type="dxa"/>
            <w:hideMark/>
          </w:tcPr>
          <w:p w14:paraId="00C65333" w14:textId="77777777" w:rsidR="004F296A" w:rsidRPr="002D53FC" w:rsidRDefault="004F296A" w:rsidP="0081309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Dokumentere compliance og strategisk overblik</w:t>
            </w:r>
          </w:p>
        </w:tc>
        <w:tc>
          <w:tcPr>
            <w:tcW w:w="2126" w:type="dxa"/>
            <w:vAlign w:val="center"/>
          </w:tcPr>
          <w:p w14:paraId="2E942DAA" w14:textId="2983BFD4" w:rsidR="004F296A" w:rsidRPr="00552765" w:rsidRDefault="004F296A" w:rsidP="00813091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>§ 6</w:t>
            </w:r>
          </w:p>
        </w:tc>
      </w:tr>
      <w:tr w:rsidR="004F296A" w:rsidRPr="002D53FC" w14:paraId="6FF29F90" w14:textId="64543805" w:rsidTr="00D65B9E">
        <w:trPr>
          <w:cantSplit/>
        </w:trPr>
        <w:tc>
          <w:tcPr>
            <w:tcW w:w="1276" w:type="dxa"/>
            <w:shd w:val="clear" w:color="auto" w:fill="4C94D8" w:themeFill="text2" w:themeFillTint="80"/>
            <w:hideMark/>
          </w:tcPr>
          <w:p w14:paraId="6A0C2035" w14:textId="77777777" w:rsidR="004F296A" w:rsidRPr="002D53FC" w:rsidRDefault="004F296A" w:rsidP="00813091">
            <w:pPr>
              <w:spacing w:after="160" w:line="278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Årligt</w:t>
            </w:r>
          </w:p>
        </w:tc>
        <w:tc>
          <w:tcPr>
            <w:tcW w:w="1559" w:type="dxa"/>
            <w:hideMark/>
          </w:tcPr>
          <w:p w14:paraId="6E3C817E" w14:textId="77777777" w:rsidR="004F296A" w:rsidRPr="002D53FC" w:rsidRDefault="004F296A" w:rsidP="0081309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Rapportering</w:t>
            </w:r>
          </w:p>
        </w:tc>
        <w:tc>
          <w:tcPr>
            <w:tcW w:w="4536" w:type="dxa"/>
            <w:hideMark/>
          </w:tcPr>
          <w:p w14:paraId="2240C2B9" w14:textId="3394616A" w:rsidR="004F296A" w:rsidRPr="002D53FC" w:rsidRDefault="004F296A" w:rsidP="0081309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Årsrapport om NIS2-indsats og anbefalinger til direktion</w:t>
            </w:r>
          </w:p>
        </w:tc>
        <w:tc>
          <w:tcPr>
            <w:tcW w:w="4253" w:type="dxa"/>
            <w:hideMark/>
          </w:tcPr>
          <w:p w14:paraId="297B081A" w14:textId="77777777" w:rsidR="004F296A" w:rsidRPr="002D53FC" w:rsidRDefault="004F296A" w:rsidP="0081309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Understøtte ledelsesbeslutninger og planlægning</w:t>
            </w:r>
          </w:p>
        </w:tc>
        <w:tc>
          <w:tcPr>
            <w:tcW w:w="2126" w:type="dxa"/>
            <w:vAlign w:val="center"/>
          </w:tcPr>
          <w:p w14:paraId="28D6CB12" w14:textId="45282BE9" w:rsidR="004F296A" w:rsidRPr="00552765" w:rsidRDefault="004F296A" w:rsidP="00813091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>§ 6,</w:t>
            </w:r>
          </w:p>
        </w:tc>
      </w:tr>
      <w:tr w:rsidR="004F296A" w:rsidRPr="002D53FC" w14:paraId="529FD46D" w14:textId="6F0E1D3E" w:rsidTr="00D65B9E">
        <w:trPr>
          <w:cantSplit/>
        </w:trPr>
        <w:tc>
          <w:tcPr>
            <w:tcW w:w="1276" w:type="dxa"/>
            <w:shd w:val="clear" w:color="auto" w:fill="4C94D8" w:themeFill="text2" w:themeFillTint="80"/>
            <w:hideMark/>
          </w:tcPr>
          <w:p w14:paraId="49E05A83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Årligt</w:t>
            </w:r>
          </w:p>
        </w:tc>
        <w:tc>
          <w:tcPr>
            <w:tcW w:w="1559" w:type="dxa"/>
            <w:hideMark/>
          </w:tcPr>
          <w:p w14:paraId="3EFD2F87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</w:t>
            </w:r>
          </w:p>
        </w:tc>
        <w:tc>
          <w:tcPr>
            <w:tcW w:w="4536" w:type="dxa"/>
            <w:hideMark/>
          </w:tcPr>
          <w:p w14:paraId="12152304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Evaluering af kontroller og forbedringsplan</w:t>
            </w:r>
          </w:p>
        </w:tc>
        <w:tc>
          <w:tcPr>
            <w:tcW w:w="4253" w:type="dxa"/>
            <w:hideMark/>
          </w:tcPr>
          <w:p w14:paraId="4FED032E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Sikre løbende forbedring og auditparathed</w:t>
            </w:r>
          </w:p>
        </w:tc>
        <w:tc>
          <w:tcPr>
            <w:tcW w:w="2126" w:type="dxa"/>
            <w:vAlign w:val="center"/>
          </w:tcPr>
          <w:p w14:paraId="286F31E1" w14:textId="4A2BEF4F" w:rsidR="004F296A" w:rsidRPr="00552765" w:rsidRDefault="004F296A" w:rsidP="00340740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>§ 12, § 15</w:t>
            </w:r>
          </w:p>
        </w:tc>
      </w:tr>
      <w:tr w:rsidR="004F296A" w:rsidRPr="002D53FC" w14:paraId="710048F1" w14:textId="5F740E64" w:rsidTr="00D65B9E">
        <w:trPr>
          <w:cantSplit/>
        </w:trPr>
        <w:tc>
          <w:tcPr>
            <w:tcW w:w="1276" w:type="dxa"/>
            <w:shd w:val="clear" w:color="auto" w:fill="4C94D8" w:themeFill="text2" w:themeFillTint="80"/>
            <w:hideMark/>
          </w:tcPr>
          <w:p w14:paraId="58A535D5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Årligt</w:t>
            </w:r>
          </w:p>
        </w:tc>
        <w:tc>
          <w:tcPr>
            <w:tcW w:w="1559" w:type="dxa"/>
            <w:hideMark/>
          </w:tcPr>
          <w:p w14:paraId="550F1D38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</w:t>
            </w:r>
          </w:p>
        </w:tc>
        <w:tc>
          <w:tcPr>
            <w:tcW w:w="4536" w:type="dxa"/>
            <w:hideMark/>
          </w:tcPr>
          <w:p w14:paraId="3FE0DC50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Review af leverandørstyring og kontrolmekanismer</w:t>
            </w:r>
          </w:p>
        </w:tc>
        <w:tc>
          <w:tcPr>
            <w:tcW w:w="4253" w:type="dxa"/>
            <w:hideMark/>
          </w:tcPr>
          <w:p w14:paraId="3070C347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Vurdere tredjepartsrisici og kontraktuel compliance</w:t>
            </w:r>
          </w:p>
        </w:tc>
        <w:tc>
          <w:tcPr>
            <w:tcW w:w="2126" w:type="dxa"/>
            <w:vAlign w:val="center"/>
          </w:tcPr>
          <w:p w14:paraId="2EDDB7AA" w14:textId="006E752B" w:rsidR="004F296A" w:rsidRPr="00552765" w:rsidRDefault="004F296A" w:rsidP="00340740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 xml:space="preserve">§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F296A" w:rsidRPr="002D53FC" w14:paraId="493521FB" w14:textId="50EC4B89" w:rsidTr="00D65B9E">
        <w:trPr>
          <w:cantSplit/>
        </w:trPr>
        <w:tc>
          <w:tcPr>
            <w:tcW w:w="1276" w:type="dxa"/>
            <w:shd w:val="clear" w:color="auto" w:fill="4C94D8" w:themeFill="text2" w:themeFillTint="80"/>
            <w:hideMark/>
          </w:tcPr>
          <w:p w14:paraId="32FB30B3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Årligt</w:t>
            </w:r>
          </w:p>
        </w:tc>
        <w:tc>
          <w:tcPr>
            <w:tcW w:w="1559" w:type="dxa"/>
            <w:hideMark/>
          </w:tcPr>
          <w:p w14:paraId="69881346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</w:t>
            </w:r>
          </w:p>
        </w:tc>
        <w:tc>
          <w:tcPr>
            <w:tcW w:w="4536" w:type="dxa"/>
            <w:hideMark/>
          </w:tcPr>
          <w:p w14:paraId="245852E0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 xml:space="preserve">Evaluering af </w:t>
            </w: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awareness</w:t>
            </w:r>
            <w:proofErr w:type="spellEnd"/>
            <w:r w:rsidRPr="002D53FC">
              <w:rPr>
                <w:rFonts w:ascii="Calibri" w:hAnsi="Calibri" w:cs="Calibri"/>
                <w:sz w:val="22"/>
                <w:szCs w:val="22"/>
              </w:rPr>
              <w:t>-program og opdatering af træningsmateriale</w:t>
            </w:r>
          </w:p>
        </w:tc>
        <w:tc>
          <w:tcPr>
            <w:tcW w:w="4253" w:type="dxa"/>
            <w:hideMark/>
          </w:tcPr>
          <w:p w14:paraId="6B702B2C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Effektmåling og opdatering af indsatser</w:t>
            </w:r>
          </w:p>
        </w:tc>
        <w:tc>
          <w:tcPr>
            <w:tcW w:w="2126" w:type="dxa"/>
            <w:vAlign w:val="center"/>
          </w:tcPr>
          <w:p w14:paraId="4395F69E" w14:textId="45645D62" w:rsidR="004F296A" w:rsidRPr="00552765" w:rsidRDefault="004F296A" w:rsidP="00340740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 xml:space="preserve">§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F296A" w:rsidRPr="002D53FC" w14:paraId="61BB55EB" w14:textId="18655488" w:rsidTr="00D65B9E">
        <w:trPr>
          <w:cantSplit/>
        </w:trPr>
        <w:tc>
          <w:tcPr>
            <w:tcW w:w="1276" w:type="dxa"/>
            <w:shd w:val="clear" w:color="auto" w:fill="4C94D8" w:themeFill="text2" w:themeFillTint="80"/>
            <w:hideMark/>
          </w:tcPr>
          <w:p w14:paraId="166582B6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Årligt</w:t>
            </w:r>
          </w:p>
        </w:tc>
        <w:tc>
          <w:tcPr>
            <w:tcW w:w="1559" w:type="dxa"/>
            <w:hideMark/>
          </w:tcPr>
          <w:p w14:paraId="4F544281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</w:t>
            </w:r>
          </w:p>
        </w:tc>
        <w:tc>
          <w:tcPr>
            <w:tcW w:w="4536" w:type="dxa"/>
            <w:hideMark/>
          </w:tcPr>
          <w:p w14:paraId="6E882627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 xml:space="preserve">Review af </w:t>
            </w: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  <w:r w:rsidRPr="002D53FC">
              <w:rPr>
                <w:rFonts w:ascii="Calibri" w:hAnsi="Calibri" w:cs="Calibri"/>
                <w:sz w:val="22"/>
                <w:szCs w:val="22"/>
              </w:rPr>
              <w:t>-struktur og rollebeskrivelser</w:t>
            </w:r>
          </w:p>
        </w:tc>
        <w:tc>
          <w:tcPr>
            <w:tcW w:w="4253" w:type="dxa"/>
            <w:hideMark/>
          </w:tcPr>
          <w:p w14:paraId="782C9775" w14:textId="77777777" w:rsidR="004F296A" w:rsidRPr="002D53FC" w:rsidRDefault="004F296A" w:rsidP="0034074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Sikre rolle-neutral og inkluderende governance</w:t>
            </w:r>
          </w:p>
        </w:tc>
        <w:tc>
          <w:tcPr>
            <w:tcW w:w="2126" w:type="dxa"/>
            <w:vAlign w:val="center"/>
          </w:tcPr>
          <w:p w14:paraId="0E48AF4E" w14:textId="6DEB8CEC" w:rsidR="004F296A" w:rsidRPr="00552765" w:rsidRDefault="004F296A" w:rsidP="00340740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>§ 6</w:t>
            </w:r>
          </w:p>
        </w:tc>
      </w:tr>
      <w:tr w:rsidR="004F296A" w:rsidRPr="002D53FC" w14:paraId="16A839ED" w14:textId="02762BF9" w:rsidTr="00D65B9E">
        <w:trPr>
          <w:cantSplit/>
        </w:trPr>
        <w:tc>
          <w:tcPr>
            <w:tcW w:w="1276" w:type="dxa"/>
            <w:shd w:val="clear" w:color="auto" w:fill="A5C9EB" w:themeFill="text2" w:themeFillTint="40"/>
            <w:hideMark/>
          </w:tcPr>
          <w:p w14:paraId="48B51AE2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Halvårligt</w:t>
            </w:r>
          </w:p>
        </w:tc>
        <w:tc>
          <w:tcPr>
            <w:tcW w:w="1559" w:type="dxa"/>
            <w:hideMark/>
          </w:tcPr>
          <w:p w14:paraId="66D52285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</w:t>
            </w:r>
          </w:p>
        </w:tc>
        <w:tc>
          <w:tcPr>
            <w:tcW w:w="4536" w:type="dxa"/>
            <w:hideMark/>
          </w:tcPr>
          <w:p w14:paraId="199A4107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Opdatering af trusselsbillede og risikovurderinger</w:t>
            </w:r>
          </w:p>
        </w:tc>
        <w:tc>
          <w:tcPr>
            <w:tcW w:w="4253" w:type="dxa"/>
            <w:hideMark/>
          </w:tcPr>
          <w:p w14:paraId="4DBD74EC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Sikre ajourføring og risikobaseret prioritering</w:t>
            </w:r>
          </w:p>
        </w:tc>
        <w:tc>
          <w:tcPr>
            <w:tcW w:w="2126" w:type="dxa"/>
            <w:vAlign w:val="center"/>
          </w:tcPr>
          <w:p w14:paraId="02E151C2" w14:textId="128BCC37" w:rsidR="004F296A" w:rsidRPr="00552765" w:rsidRDefault="004F296A" w:rsidP="00C55C76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 xml:space="preserve">§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F296A" w:rsidRPr="002D53FC" w14:paraId="661DD613" w14:textId="28C3BB63" w:rsidTr="00D65B9E">
        <w:trPr>
          <w:cantSplit/>
        </w:trPr>
        <w:tc>
          <w:tcPr>
            <w:tcW w:w="1276" w:type="dxa"/>
            <w:shd w:val="clear" w:color="auto" w:fill="A5C9EB" w:themeFill="text2" w:themeFillTint="40"/>
            <w:hideMark/>
          </w:tcPr>
          <w:p w14:paraId="4EC2E561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Halvårligt</w:t>
            </w:r>
          </w:p>
        </w:tc>
        <w:tc>
          <w:tcPr>
            <w:tcW w:w="1559" w:type="dxa"/>
            <w:hideMark/>
          </w:tcPr>
          <w:p w14:paraId="25E6A17E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Kontrol</w:t>
            </w:r>
          </w:p>
        </w:tc>
        <w:tc>
          <w:tcPr>
            <w:tcW w:w="4536" w:type="dxa"/>
            <w:hideMark/>
          </w:tcPr>
          <w:p w14:paraId="1BCE1DCA" w14:textId="607CAAF0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Intern audit af kontroller og kontraktuelle krav til leverandører f.eks. sikkerhedsbilag og databehandleraftaler</w:t>
            </w:r>
          </w:p>
        </w:tc>
        <w:tc>
          <w:tcPr>
            <w:tcW w:w="4253" w:type="dxa"/>
            <w:hideMark/>
          </w:tcPr>
          <w:p w14:paraId="4D599F01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Vurdere efterlevelse og dokumentation</w:t>
            </w:r>
          </w:p>
        </w:tc>
        <w:tc>
          <w:tcPr>
            <w:tcW w:w="2126" w:type="dxa"/>
            <w:vAlign w:val="center"/>
          </w:tcPr>
          <w:p w14:paraId="2C745114" w14:textId="0A480756" w:rsidR="004F296A" w:rsidRPr="00552765" w:rsidRDefault="004F296A" w:rsidP="00C55C76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>§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</w:tc>
      </w:tr>
      <w:tr w:rsidR="004F296A" w:rsidRPr="002D53FC" w14:paraId="5A6E856B" w14:textId="237735DD" w:rsidTr="00D65B9E">
        <w:trPr>
          <w:cantSplit/>
        </w:trPr>
        <w:tc>
          <w:tcPr>
            <w:tcW w:w="1276" w:type="dxa"/>
            <w:shd w:val="clear" w:color="auto" w:fill="A5C9EB" w:themeFill="text2" w:themeFillTint="40"/>
            <w:hideMark/>
          </w:tcPr>
          <w:p w14:paraId="21AA83C7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Halvårligt</w:t>
            </w:r>
          </w:p>
        </w:tc>
        <w:tc>
          <w:tcPr>
            <w:tcW w:w="1559" w:type="dxa"/>
            <w:hideMark/>
          </w:tcPr>
          <w:p w14:paraId="258E30DA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</w:t>
            </w:r>
          </w:p>
        </w:tc>
        <w:tc>
          <w:tcPr>
            <w:tcW w:w="4536" w:type="dxa"/>
            <w:hideMark/>
          </w:tcPr>
          <w:p w14:paraId="5AF4E094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Awareness</w:t>
            </w:r>
            <w:proofErr w:type="spellEnd"/>
            <w:r w:rsidRPr="002D53FC">
              <w:rPr>
                <w:rFonts w:ascii="Calibri" w:hAnsi="Calibri" w:cs="Calibri"/>
                <w:sz w:val="22"/>
                <w:szCs w:val="22"/>
              </w:rPr>
              <w:t>-indsats og evaluering af organisatorisk modenhed</w:t>
            </w:r>
          </w:p>
        </w:tc>
        <w:tc>
          <w:tcPr>
            <w:tcW w:w="4253" w:type="dxa"/>
            <w:hideMark/>
          </w:tcPr>
          <w:p w14:paraId="7F586F3E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Styrke kultur og modstandskraft</w:t>
            </w:r>
          </w:p>
        </w:tc>
        <w:tc>
          <w:tcPr>
            <w:tcW w:w="2126" w:type="dxa"/>
            <w:vAlign w:val="center"/>
          </w:tcPr>
          <w:p w14:paraId="6C9D8671" w14:textId="55D266FD" w:rsidR="004F296A" w:rsidRPr="00552765" w:rsidRDefault="004F296A" w:rsidP="00C55C76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 xml:space="preserve">§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F296A" w:rsidRPr="002D53FC" w14:paraId="635B8730" w14:textId="638E4283" w:rsidTr="00D65B9E">
        <w:trPr>
          <w:cantSplit/>
        </w:trPr>
        <w:tc>
          <w:tcPr>
            <w:tcW w:w="1276" w:type="dxa"/>
            <w:shd w:val="clear" w:color="auto" w:fill="A5C9EB" w:themeFill="text2" w:themeFillTint="40"/>
            <w:hideMark/>
          </w:tcPr>
          <w:p w14:paraId="5D014E62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Halvårligt</w:t>
            </w:r>
          </w:p>
        </w:tc>
        <w:tc>
          <w:tcPr>
            <w:tcW w:w="1559" w:type="dxa"/>
            <w:hideMark/>
          </w:tcPr>
          <w:p w14:paraId="1628F0C0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</w:t>
            </w:r>
          </w:p>
        </w:tc>
        <w:tc>
          <w:tcPr>
            <w:tcW w:w="4536" w:type="dxa"/>
            <w:hideMark/>
          </w:tcPr>
          <w:p w14:paraId="3BA8C5D9" w14:textId="77777777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 på administratorrettigheder</w:t>
            </w:r>
          </w:p>
        </w:tc>
        <w:tc>
          <w:tcPr>
            <w:tcW w:w="4253" w:type="dxa"/>
            <w:hideMark/>
          </w:tcPr>
          <w:p w14:paraId="54BAF657" w14:textId="34515BB4" w:rsidR="004F296A" w:rsidRPr="002D53FC" w:rsidRDefault="004F296A" w:rsidP="00C55C7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Kontrollere og korrigere privilegeret adgang</w:t>
            </w:r>
          </w:p>
        </w:tc>
        <w:tc>
          <w:tcPr>
            <w:tcW w:w="2126" w:type="dxa"/>
            <w:vAlign w:val="center"/>
          </w:tcPr>
          <w:p w14:paraId="7ADEA02C" w14:textId="3FF4B937" w:rsidR="004F296A" w:rsidRPr="00552765" w:rsidRDefault="004F296A" w:rsidP="00C55C76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 xml:space="preserve">§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F296A" w:rsidRPr="002D53FC" w14:paraId="3BD9A12C" w14:textId="6D1C15A4" w:rsidTr="00D65B9E">
        <w:trPr>
          <w:cantSplit/>
        </w:trPr>
        <w:tc>
          <w:tcPr>
            <w:tcW w:w="1276" w:type="dxa"/>
            <w:shd w:val="clear" w:color="auto" w:fill="DAE9F7" w:themeFill="text2" w:themeFillTint="1A"/>
            <w:hideMark/>
          </w:tcPr>
          <w:p w14:paraId="71FB3F45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Kvartalsvist</w:t>
            </w:r>
          </w:p>
        </w:tc>
        <w:tc>
          <w:tcPr>
            <w:tcW w:w="1559" w:type="dxa"/>
            <w:hideMark/>
          </w:tcPr>
          <w:p w14:paraId="4EB72C68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Rapportering</w:t>
            </w:r>
          </w:p>
        </w:tc>
        <w:tc>
          <w:tcPr>
            <w:tcW w:w="4536" w:type="dxa"/>
            <w:hideMark/>
          </w:tcPr>
          <w:p w14:paraId="642F72D0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ISU-møder med status, beslutninger og opfølgning</w:t>
            </w:r>
          </w:p>
        </w:tc>
        <w:tc>
          <w:tcPr>
            <w:tcW w:w="4253" w:type="dxa"/>
            <w:hideMark/>
          </w:tcPr>
          <w:p w14:paraId="0B547806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Sikre governance, ledelsesinvolvering og dokumenteret ansvar</w:t>
            </w:r>
          </w:p>
        </w:tc>
        <w:tc>
          <w:tcPr>
            <w:tcW w:w="2126" w:type="dxa"/>
            <w:vAlign w:val="center"/>
          </w:tcPr>
          <w:p w14:paraId="7B97AE03" w14:textId="1881E59E" w:rsidR="004F296A" w:rsidRPr="00552765" w:rsidRDefault="004F296A" w:rsidP="00502C45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>§ 6</w:t>
            </w:r>
          </w:p>
        </w:tc>
      </w:tr>
      <w:tr w:rsidR="004F296A" w:rsidRPr="002D53FC" w14:paraId="71ADF6F3" w14:textId="2BC74B55" w:rsidTr="00D65B9E">
        <w:trPr>
          <w:cantSplit/>
        </w:trPr>
        <w:tc>
          <w:tcPr>
            <w:tcW w:w="1276" w:type="dxa"/>
            <w:shd w:val="clear" w:color="auto" w:fill="DAE9F7" w:themeFill="text2" w:themeFillTint="1A"/>
            <w:hideMark/>
          </w:tcPr>
          <w:p w14:paraId="2708E7EF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lastRenderedPageBreak/>
              <w:t>Kvartalsvist</w:t>
            </w:r>
          </w:p>
        </w:tc>
        <w:tc>
          <w:tcPr>
            <w:tcW w:w="1559" w:type="dxa"/>
            <w:hideMark/>
          </w:tcPr>
          <w:p w14:paraId="1BB6723A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Rapportering</w:t>
            </w:r>
          </w:p>
        </w:tc>
        <w:tc>
          <w:tcPr>
            <w:tcW w:w="4536" w:type="dxa"/>
            <w:hideMark/>
          </w:tcPr>
          <w:p w14:paraId="4148C99A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Statusrapportering til ledelse</w:t>
            </w:r>
          </w:p>
        </w:tc>
        <w:tc>
          <w:tcPr>
            <w:tcW w:w="4253" w:type="dxa"/>
            <w:hideMark/>
          </w:tcPr>
          <w:p w14:paraId="206AEB12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Understøtte strategisk overblik og risikostyring</w:t>
            </w:r>
          </w:p>
        </w:tc>
        <w:tc>
          <w:tcPr>
            <w:tcW w:w="2126" w:type="dxa"/>
            <w:vAlign w:val="center"/>
          </w:tcPr>
          <w:p w14:paraId="793BE06C" w14:textId="5258B850" w:rsidR="004F296A" w:rsidRPr="00552765" w:rsidRDefault="004F296A" w:rsidP="00502C45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>§ 6</w:t>
            </w:r>
          </w:p>
        </w:tc>
      </w:tr>
      <w:tr w:rsidR="004F296A" w:rsidRPr="002D53FC" w14:paraId="06486F2E" w14:textId="6ECC7EE2" w:rsidTr="00D65B9E">
        <w:trPr>
          <w:cantSplit/>
        </w:trPr>
        <w:tc>
          <w:tcPr>
            <w:tcW w:w="1276" w:type="dxa"/>
            <w:shd w:val="clear" w:color="auto" w:fill="DAE9F7" w:themeFill="text2" w:themeFillTint="1A"/>
            <w:hideMark/>
          </w:tcPr>
          <w:p w14:paraId="39E7BCA4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Kvartalsvist</w:t>
            </w:r>
          </w:p>
        </w:tc>
        <w:tc>
          <w:tcPr>
            <w:tcW w:w="1559" w:type="dxa"/>
            <w:hideMark/>
          </w:tcPr>
          <w:p w14:paraId="0A3CBCDE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Kontrol</w:t>
            </w:r>
          </w:p>
        </w:tc>
        <w:tc>
          <w:tcPr>
            <w:tcW w:w="4536" w:type="dxa"/>
            <w:hideMark/>
          </w:tcPr>
          <w:p w14:paraId="57264998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Gennemgang af adgangsstyring og brugerrettigheder</w:t>
            </w:r>
          </w:p>
        </w:tc>
        <w:tc>
          <w:tcPr>
            <w:tcW w:w="4253" w:type="dxa"/>
            <w:hideMark/>
          </w:tcPr>
          <w:p w14:paraId="72E227DA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Sikre dataminimering og adgangssikkerhed</w:t>
            </w:r>
          </w:p>
        </w:tc>
        <w:tc>
          <w:tcPr>
            <w:tcW w:w="2126" w:type="dxa"/>
            <w:vAlign w:val="center"/>
          </w:tcPr>
          <w:p w14:paraId="11FF7140" w14:textId="335B4186" w:rsidR="004F296A" w:rsidRPr="00552765" w:rsidRDefault="004F296A" w:rsidP="00502C45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 xml:space="preserve">§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F296A" w:rsidRPr="002D53FC" w14:paraId="49776777" w14:textId="3C2FC7F6" w:rsidTr="00D65B9E">
        <w:trPr>
          <w:cantSplit/>
        </w:trPr>
        <w:tc>
          <w:tcPr>
            <w:tcW w:w="1276" w:type="dxa"/>
            <w:shd w:val="clear" w:color="auto" w:fill="DAE9F7" w:themeFill="text2" w:themeFillTint="1A"/>
            <w:hideMark/>
          </w:tcPr>
          <w:p w14:paraId="23DDF681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Kvartalsvist</w:t>
            </w:r>
          </w:p>
        </w:tc>
        <w:tc>
          <w:tcPr>
            <w:tcW w:w="1559" w:type="dxa"/>
            <w:hideMark/>
          </w:tcPr>
          <w:p w14:paraId="15466E96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</w:t>
            </w:r>
          </w:p>
        </w:tc>
        <w:tc>
          <w:tcPr>
            <w:tcW w:w="4536" w:type="dxa"/>
            <w:hideMark/>
          </w:tcPr>
          <w:p w14:paraId="4A0D1B0D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 på hændelser og udbedringer</w:t>
            </w:r>
          </w:p>
        </w:tc>
        <w:tc>
          <w:tcPr>
            <w:tcW w:w="4253" w:type="dxa"/>
            <w:hideMark/>
          </w:tcPr>
          <w:p w14:paraId="73D3A227" w14:textId="77777777" w:rsidR="004F296A" w:rsidRPr="002D53FC" w:rsidRDefault="004F296A" w:rsidP="00502C4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Identificere mønstre, konsekvenser og forbedringsbehov</w:t>
            </w:r>
          </w:p>
        </w:tc>
        <w:tc>
          <w:tcPr>
            <w:tcW w:w="2126" w:type="dxa"/>
            <w:vAlign w:val="center"/>
          </w:tcPr>
          <w:p w14:paraId="33AFC997" w14:textId="6A7CA116" w:rsidR="004F296A" w:rsidRPr="00552765" w:rsidRDefault="004F296A" w:rsidP="00502C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§ 12, </w:t>
            </w:r>
            <w:r w:rsidRPr="00552765">
              <w:rPr>
                <w:rFonts w:ascii="Calibri" w:hAnsi="Calibri" w:cs="Calibri"/>
                <w:sz w:val="22"/>
                <w:szCs w:val="22"/>
              </w:rPr>
              <w:t xml:space="preserve">§ </w:t>
            </w: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</w:tr>
      <w:tr w:rsidR="004F296A" w:rsidRPr="002D53FC" w14:paraId="2C899882" w14:textId="352BEA9E" w:rsidTr="00D65B9E">
        <w:trPr>
          <w:cantSplit/>
        </w:trPr>
        <w:tc>
          <w:tcPr>
            <w:tcW w:w="1276" w:type="dxa"/>
            <w:shd w:val="clear" w:color="auto" w:fill="DAE9F7" w:themeFill="text2" w:themeFillTint="1A"/>
            <w:hideMark/>
          </w:tcPr>
          <w:p w14:paraId="04C91700" w14:textId="77777777" w:rsidR="004F296A" w:rsidRPr="002D53FC" w:rsidRDefault="004F296A" w:rsidP="0017663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Kvartalsvist</w:t>
            </w:r>
          </w:p>
        </w:tc>
        <w:tc>
          <w:tcPr>
            <w:tcW w:w="1559" w:type="dxa"/>
            <w:hideMark/>
          </w:tcPr>
          <w:p w14:paraId="31841B84" w14:textId="77777777" w:rsidR="004F296A" w:rsidRPr="002D53FC" w:rsidRDefault="004F296A" w:rsidP="0017663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</w:t>
            </w:r>
          </w:p>
        </w:tc>
        <w:tc>
          <w:tcPr>
            <w:tcW w:w="4536" w:type="dxa"/>
            <w:hideMark/>
          </w:tcPr>
          <w:p w14:paraId="3420597E" w14:textId="77777777" w:rsidR="004F296A" w:rsidRPr="002D53FC" w:rsidRDefault="004F296A" w:rsidP="0017663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Opfølgning på årsplan for sikkerhedsaktiviteter</w:t>
            </w:r>
          </w:p>
        </w:tc>
        <w:tc>
          <w:tcPr>
            <w:tcW w:w="4253" w:type="dxa"/>
            <w:hideMark/>
          </w:tcPr>
          <w:p w14:paraId="5815F5A3" w14:textId="77777777" w:rsidR="004F296A" w:rsidRPr="002D53FC" w:rsidRDefault="004F296A" w:rsidP="0017663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Sikre fremdrift og justering af planlagte indsatser</w:t>
            </w:r>
          </w:p>
        </w:tc>
        <w:tc>
          <w:tcPr>
            <w:tcW w:w="2126" w:type="dxa"/>
            <w:vAlign w:val="center"/>
          </w:tcPr>
          <w:p w14:paraId="488C0D8B" w14:textId="4EE4F9B6" w:rsidR="004F296A" w:rsidRPr="00552765" w:rsidRDefault="004F296A" w:rsidP="00176632">
            <w:pPr>
              <w:rPr>
                <w:rFonts w:ascii="Calibri" w:hAnsi="Calibri" w:cs="Calibri"/>
                <w:sz w:val="22"/>
                <w:szCs w:val="22"/>
              </w:rPr>
            </w:pPr>
            <w:r w:rsidRPr="00552765">
              <w:rPr>
                <w:rFonts w:ascii="Calibri" w:hAnsi="Calibri" w:cs="Calibri"/>
                <w:sz w:val="22"/>
                <w:szCs w:val="22"/>
              </w:rPr>
              <w:t>§ 6, § 12</w:t>
            </w:r>
          </w:p>
        </w:tc>
      </w:tr>
    </w:tbl>
    <w:p w14:paraId="7F444B84" w14:textId="77777777" w:rsidR="00EC6746" w:rsidRDefault="00EC6746" w:rsidP="00273BFD"/>
    <w:p w14:paraId="646EFD2B" w14:textId="77777777" w:rsidR="000C7CE7" w:rsidRDefault="000C7CE7" w:rsidP="00273BFD"/>
    <w:p w14:paraId="4BA5BB01" w14:textId="14761ADA" w:rsidR="00574D97" w:rsidRDefault="00574D97" w:rsidP="00273BFD">
      <w:pPr>
        <w:rPr>
          <w:rFonts w:ascii="Calibri" w:hAnsi="Calibri" w:cs="Calibri"/>
        </w:rPr>
      </w:pPr>
      <w:r w:rsidRPr="004F6D9B">
        <w:rPr>
          <w:rFonts w:ascii="Calibri" w:hAnsi="Calibri" w:cs="Calibri"/>
          <w:b/>
          <w:bCs/>
        </w:rPr>
        <w:t xml:space="preserve">Eksempler på </w:t>
      </w:r>
      <w:r>
        <w:rPr>
          <w:rFonts w:ascii="Calibri" w:hAnsi="Calibri" w:cs="Calibri"/>
          <w:b/>
          <w:bCs/>
        </w:rPr>
        <w:t>enkeltstående aktiviteter (supplerende plan)</w:t>
      </w:r>
    </w:p>
    <w:tbl>
      <w:tblPr>
        <w:tblStyle w:val="Tabel-Gitter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1276"/>
        <w:gridCol w:w="1559"/>
        <w:gridCol w:w="4536"/>
        <w:gridCol w:w="4253"/>
        <w:gridCol w:w="2126"/>
      </w:tblGrid>
      <w:tr w:rsidR="00035D38" w:rsidRPr="002D53FC" w14:paraId="545DEB0D" w14:textId="116AE115" w:rsidTr="00D65B9E">
        <w:trPr>
          <w:cantSplit/>
          <w:tblHeader/>
        </w:trPr>
        <w:tc>
          <w:tcPr>
            <w:tcW w:w="1276" w:type="dxa"/>
            <w:shd w:val="clear" w:color="auto" w:fill="196B24" w:themeFill="accent3"/>
            <w:hideMark/>
          </w:tcPr>
          <w:p w14:paraId="65C45CFB" w14:textId="77777777" w:rsidR="00035D38" w:rsidRPr="002D53FC" w:rsidRDefault="00035D38" w:rsidP="00176632">
            <w:pPr>
              <w:spacing w:after="160" w:line="278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Frekvens</w:t>
            </w:r>
          </w:p>
        </w:tc>
        <w:tc>
          <w:tcPr>
            <w:tcW w:w="1559" w:type="dxa"/>
            <w:shd w:val="clear" w:color="auto" w:fill="196B24" w:themeFill="accent3"/>
            <w:hideMark/>
          </w:tcPr>
          <w:p w14:paraId="392FF4DB" w14:textId="77777777" w:rsidR="00035D38" w:rsidRPr="002D53FC" w:rsidRDefault="00035D38" w:rsidP="00176632">
            <w:pPr>
              <w:spacing w:after="160" w:line="278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Type</w:t>
            </w:r>
          </w:p>
        </w:tc>
        <w:tc>
          <w:tcPr>
            <w:tcW w:w="4536" w:type="dxa"/>
            <w:shd w:val="clear" w:color="auto" w:fill="196B24" w:themeFill="accent3"/>
            <w:hideMark/>
          </w:tcPr>
          <w:p w14:paraId="7FD15012" w14:textId="77777777" w:rsidR="00035D38" w:rsidRPr="002D53FC" w:rsidRDefault="00035D38" w:rsidP="00176632">
            <w:pPr>
              <w:spacing w:after="160" w:line="278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Opgave</w:t>
            </w:r>
          </w:p>
        </w:tc>
        <w:tc>
          <w:tcPr>
            <w:tcW w:w="4253" w:type="dxa"/>
            <w:shd w:val="clear" w:color="auto" w:fill="196B24" w:themeFill="accent3"/>
            <w:hideMark/>
          </w:tcPr>
          <w:p w14:paraId="1BF9AC91" w14:textId="77777777" w:rsidR="00035D38" w:rsidRPr="002D53FC" w:rsidRDefault="00035D38" w:rsidP="00176632">
            <w:pPr>
              <w:spacing w:after="160" w:line="278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D53F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Formål med opgaven</w:t>
            </w:r>
          </w:p>
        </w:tc>
        <w:tc>
          <w:tcPr>
            <w:tcW w:w="2126" w:type="dxa"/>
            <w:shd w:val="clear" w:color="auto" w:fill="196B24" w:themeFill="accent3"/>
          </w:tcPr>
          <w:p w14:paraId="4C49A730" w14:textId="32864CCB" w:rsidR="00035D38" w:rsidRPr="002D53FC" w:rsidRDefault="00035D38" w:rsidP="00176632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55276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NIS2-lov</w:t>
            </w:r>
          </w:p>
        </w:tc>
      </w:tr>
      <w:tr w:rsidR="00035D38" w:rsidRPr="002D53FC" w14:paraId="628F81FC" w14:textId="3D1AB05C" w:rsidTr="00D65B9E">
        <w:trPr>
          <w:cantSplit/>
        </w:trPr>
        <w:tc>
          <w:tcPr>
            <w:tcW w:w="1276" w:type="dxa"/>
            <w:hideMark/>
          </w:tcPr>
          <w:p w14:paraId="320F2A4A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Ad hoc</w:t>
            </w:r>
          </w:p>
        </w:tc>
        <w:tc>
          <w:tcPr>
            <w:tcW w:w="1559" w:type="dxa"/>
            <w:hideMark/>
          </w:tcPr>
          <w:p w14:paraId="0AD62730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Projekt</w:t>
            </w:r>
          </w:p>
        </w:tc>
        <w:tc>
          <w:tcPr>
            <w:tcW w:w="4536" w:type="dxa"/>
            <w:hideMark/>
          </w:tcPr>
          <w:p w14:paraId="54AA08CB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Implementering af nyt SIEM-system</w:t>
            </w:r>
          </w:p>
        </w:tc>
        <w:tc>
          <w:tcPr>
            <w:tcW w:w="4253" w:type="dxa"/>
            <w:hideMark/>
          </w:tcPr>
          <w:p w14:paraId="1A2041F8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Teknisk styrkelse af detektering og logning</w:t>
            </w:r>
          </w:p>
        </w:tc>
        <w:tc>
          <w:tcPr>
            <w:tcW w:w="2126" w:type="dxa"/>
          </w:tcPr>
          <w:p w14:paraId="43EC87DF" w14:textId="35BCBF7B" w:rsidR="00035D38" w:rsidRPr="002D53FC" w:rsidRDefault="00183181" w:rsidP="00D04F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12, § 13</w:t>
            </w:r>
          </w:p>
        </w:tc>
      </w:tr>
      <w:tr w:rsidR="00035D38" w:rsidRPr="002D53FC" w14:paraId="5AFB860E" w14:textId="0BC1D517" w:rsidTr="00D65B9E">
        <w:trPr>
          <w:cantSplit/>
        </w:trPr>
        <w:tc>
          <w:tcPr>
            <w:tcW w:w="1276" w:type="dxa"/>
            <w:hideMark/>
          </w:tcPr>
          <w:p w14:paraId="367A97E9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Ad hoc</w:t>
            </w:r>
          </w:p>
        </w:tc>
        <w:tc>
          <w:tcPr>
            <w:tcW w:w="1559" w:type="dxa"/>
            <w:hideMark/>
          </w:tcPr>
          <w:p w14:paraId="182286AF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Kontrol</w:t>
            </w:r>
          </w:p>
        </w:tc>
        <w:tc>
          <w:tcPr>
            <w:tcW w:w="4536" w:type="dxa"/>
            <w:hideMark/>
          </w:tcPr>
          <w:p w14:paraId="7F95B486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DPIA på nyt system eller databehandling</w:t>
            </w:r>
          </w:p>
        </w:tc>
        <w:tc>
          <w:tcPr>
            <w:tcW w:w="4253" w:type="dxa"/>
            <w:hideMark/>
          </w:tcPr>
          <w:p w14:paraId="2D3B676D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GDPR/NIS2-samspil og risikovurdering</w:t>
            </w:r>
          </w:p>
        </w:tc>
        <w:tc>
          <w:tcPr>
            <w:tcW w:w="2126" w:type="dxa"/>
          </w:tcPr>
          <w:p w14:paraId="26189D50" w14:textId="6B856B2F" w:rsidR="00035D38" w:rsidRPr="002D53FC" w:rsidRDefault="00183181" w:rsidP="00D04F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6, § 12</w:t>
            </w:r>
          </w:p>
        </w:tc>
      </w:tr>
      <w:tr w:rsidR="00035D38" w:rsidRPr="002D53FC" w14:paraId="47738208" w14:textId="38FB4297" w:rsidTr="00D65B9E">
        <w:trPr>
          <w:cantSplit/>
        </w:trPr>
        <w:tc>
          <w:tcPr>
            <w:tcW w:w="1276" w:type="dxa"/>
            <w:hideMark/>
          </w:tcPr>
          <w:p w14:paraId="7E52AF88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Ad hoc</w:t>
            </w:r>
          </w:p>
        </w:tc>
        <w:tc>
          <w:tcPr>
            <w:tcW w:w="1559" w:type="dxa"/>
            <w:hideMark/>
          </w:tcPr>
          <w:p w14:paraId="4524FC8D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Strategisk</w:t>
            </w:r>
          </w:p>
        </w:tc>
        <w:tc>
          <w:tcPr>
            <w:tcW w:w="4536" w:type="dxa"/>
            <w:hideMark/>
          </w:tcPr>
          <w:p w14:paraId="36F988B6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Etablering af nyt governance framework</w:t>
            </w:r>
          </w:p>
        </w:tc>
        <w:tc>
          <w:tcPr>
            <w:tcW w:w="4253" w:type="dxa"/>
            <w:hideMark/>
          </w:tcPr>
          <w:p w14:paraId="1DFE7FA4" w14:textId="77777777" w:rsidR="00035D38" w:rsidRPr="002D53FC" w:rsidRDefault="00035D38" w:rsidP="00D04FD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Strategisk omstrukturering og rolleafklaring</w:t>
            </w:r>
          </w:p>
        </w:tc>
        <w:tc>
          <w:tcPr>
            <w:tcW w:w="2126" w:type="dxa"/>
          </w:tcPr>
          <w:p w14:paraId="1A36784B" w14:textId="65D4E7E2" w:rsidR="00035D38" w:rsidRPr="002D53FC" w:rsidRDefault="00BF4401" w:rsidP="00D04F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6</w:t>
            </w:r>
          </w:p>
        </w:tc>
      </w:tr>
      <w:tr w:rsidR="00035D38" w:rsidRPr="002D53FC" w14:paraId="686F0E06" w14:textId="096D9CD0" w:rsidTr="00D65B9E">
        <w:trPr>
          <w:cantSplit/>
        </w:trPr>
        <w:tc>
          <w:tcPr>
            <w:tcW w:w="1276" w:type="dxa"/>
            <w:hideMark/>
          </w:tcPr>
          <w:p w14:paraId="35504360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Ad hoc</w:t>
            </w:r>
          </w:p>
        </w:tc>
        <w:tc>
          <w:tcPr>
            <w:tcW w:w="1559" w:type="dxa"/>
            <w:hideMark/>
          </w:tcPr>
          <w:p w14:paraId="633584E0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Integration</w:t>
            </w:r>
          </w:p>
        </w:tc>
        <w:tc>
          <w:tcPr>
            <w:tcW w:w="4536" w:type="dxa"/>
            <w:hideMark/>
          </w:tcPr>
          <w:p w14:paraId="17377EC3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Integration af NIS2 i leverandørstyring</w:t>
            </w:r>
          </w:p>
        </w:tc>
        <w:tc>
          <w:tcPr>
            <w:tcW w:w="4253" w:type="dxa"/>
            <w:hideMark/>
          </w:tcPr>
          <w:p w14:paraId="4706BC35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Kontraktuel compliance og kontrolmekanismer</w:t>
            </w:r>
          </w:p>
        </w:tc>
        <w:tc>
          <w:tcPr>
            <w:tcW w:w="2126" w:type="dxa"/>
          </w:tcPr>
          <w:p w14:paraId="4D2593BB" w14:textId="4518EC79" w:rsidR="00035D38" w:rsidRPr="002D53FC" w:rsidRDefault="00BF4401" w:rsidP="00DC1C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6</w:t>
            </w:r>
          </w:p>
        </w:tc>
      </w:tr>
      <w:tr w:rsidR="00035D38" w:rsidRPr="002D53FC" w14:paraId="3327366A" w14:textId="3C5B1A51" w:rsidTr="00D65B9E">
        <w:trPr>
          <w:cantSplit/>
        </w:trPr>
        <w:tc>
          <w:tcPr>
            <w:tcW w:w="1276" w:type="dxa"/>
            <w:hideMark/>
          </w:tcPr>
          <w:p w14:paraId="0779F50B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Ad hoc</w:t>
            </w:r>
          </w:p>
        </w:tc>
        <w:tc>
          <w:tcPr>
            <w:tcW w:w="1559" w:type="dxa"/>
            <w:hideMark/>
          </w:tcPr>
          <w:p w14:paraId="6CBA59F2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Analyse</w:t>
            </w:r>
          </w:p>
        </w:tc>
        <w:tc>
          <w:tcPr>
            <w:tcW w:w="4536" w:type="dxa"/>
            <w:hideMark/>
          </w:tcPr>
          <w:p w14:paraId="44198689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Lessons</w:t>
            </w:r>
            <w:proofErr w:type="spellEnd"/>
            <w:r w:rsidRPr="002D53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learned</w:t>
            </w:r>
            <w:proofErr w:type="spellEnd"/>
            <w:r w:rsidRPr="002D53FC">
              <w:rPr>
                <w:rFonts w:ascii="Calibri" w:hAnsi="Calibri" w:cs="Calibri"/>
                <w:sz w:val="22"/>
                <w:szCs w:val="22"/>
              </w:rPr>
              <w:t xml:space="preserve"> efter større hændelse</w:t>
            </w:r>
          </w:p>
        </w:tc>
        <w:tc>
          <w:tcPr>
            <w:tcW w:w="4253" w:type="dxa"/>
            <w:hideMark/>
          </w:tcPr>
          <w:p w14:paraId="224B05B8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Forbedring af beredskab og organisatorisk læring</w:t>
            </w:r>
          </w:p>
        </w:tc>
        <w:tc>
          <w:tcPr>
            <w:tcW w:w="2126" w:type="dxa"/>
          </w:tcPr>
          <w:p w14:paraId="0E0D6EAB" w14:textId="2631126C" w:rsidR="00035D38" w:rsidRPr="002D53FC" w:rsidRDefault="00BF4401" w:rsidP="00DC1C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13, § 15</w:t>
            </w:r>
          </w:p>
        </w:tc>
      </w:tr>
      <w:tr w:rsidR="00035D38" w:rsidRPr="002D53FC" w14:paraId="7AA1B263" w14:textId="6607064E" w:rsidTr="00D65B9E">
        <w:trPr>
          <w:cantSplit/>
        </w:trPr>
        <w:tc>
          <w:tcPr>
            <w:tcW w:w="1276" w:type="dxa"/>
            <w:hideMark/>
          </w:tcPr>
          <w:p w14:paraId="025F60CB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Ad hoc</w:t>
            </w:r>
          </w:p>
        </w:tc>
        <w:tc>
          <w:tcPr>
            <w:tcW w:w="1559" w:type="dxa"/>
            <w:hideMark/>
          </w:tcPr>
          <w:p w14:paraId="20110EE2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Certificering</w:t>
            </w:r>
          </w:p>
        </w:tc>
        <w:tc>
          <w:tcPr>
            <w:tcW w:w="4536" w:type="dxa"/>
            <w:hideMark/>
          </w:tcPr>
          <w:p w14:paraId="4974C45A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ISO-certificering eller anden ekstern standardimplementering</w:t>
            </w:r>
          </w:p>
        </w:tc>
        <w:tc>
          <w:tcPr>
            <w:tcW w:w="4253" w:type="dxa"/>
            <w:hideMark/>
          </w:tcPr>
          <w:p w14:paraId="1F9D8FC8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Modenhed og auditparathed</w:t>
            </w:r>
          </w:p>
        </w:tc>
        <w:tc>
          <w:tcPr>
            <w:tcW w:w="2126" w:type="dxa"/>
          </w:tcPr>
          <w:p w14:paraId="3689C643" w14:textId="4FBD0B63" w:rsidR="00035D38" w:rsidRPr="002D53FC" w:rsidRDefault="00BF4401" w:rsidP="00DC1C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6, § 12</w:t>
            </w:r>
          </w:p>
        </w:tc>
      </w:tr>
      <w:tr w:rsidR="00035D38" w:rsidRPr="002D53FC" w14:paraId="12EABAA4" w14:textId="53E2E299" w:rsidTr="00D65B9E">
        <w:trPr>
          <w:cantSplit/>
        </w:trPr>
        <w:tc>
          <w:tcPr>
            <w:tcW w:w="1276" w:type="dxa"/>
            <w:hideMark/>
          </w:tcPr>
          <w:p w14:paraId="28456BCA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lastRenderedPageBreak/>
              <w:t>Ad hoc</w:t>
            </w:r>
          </w:p>
        </w:tc>
        <w:tc>
          <w:tcPr>
            <w:tcW w:w="1559" w:type="dxa"/>
            <w:hideMark/>
          </w:tcPr>
          <w:p w14:paraId="0A44E68C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Visualisering</w:t>
            </w:r>
          </w:p>
        </w:tc>
        <w:tc>
          <w:tcPr>
            <w:tcW w:w="4536" w:type="dxa"/>
            <w:hideMark/>
          </w:tcPr>
          <w:p w14:paraId="104D4B40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 xml:space="preserve">Udvikling af risikomodeller og </w:t>
            </w: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heatmaps</w:t>
            </w:r>
            <w:proofErr w:type="spellEnd"/>
          </w:p>
        </w:tc>
        <w:tc>
          <w:tcPr>
            <w:tcW w:w="4253" w:type="dxa"/>
            <w:hideMark/>
          </w:tcPr>
          <w:p w14:paraId="004C872F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Prioritering og kommunikation af risici</w:t>
            </w:r>
          </w:p>
        </w:tc>
        <w:tc>
          <w:tcPr>
            <w:tcW w:w="2126" w:type="dxa"/>
          </w:tcPr>
          <w:p w14:paraId="421BEFCF" w14:textId="1A189127" w:rsidR="00035D38" w:rsidRPr="002D53FC" w:rsidRDefault="00BF4401" w:rsidP="00DC1C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6</w:t>
            </w:r>
          </w:p>
        </w:tc>
      </w:tr>
      <w:tr w:rsidR="00035D38" w:rsidRPr="002D53FC" w14:paraId="44148341" w14:textId="3E1529A4" w:rsidTr="00D65B9E">
        <w:trPr>
          <w:cantSplit/>
        </w:trPr>
        <w:tc>
          <w:tcPr>
            <w:tcW w:w="1276" w:type="dxa"/>
            <w:hideMark/>
          </w:tcPr>
          <w:p w14:paraId="5206F1A2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Ad hoc</w:t>
            </w:r>
          </w:p>
        </w:tc>
        <w:tc>
          <w:tcPr>
            <w:tcW w:w="1559" w:type="dxa"/>
            <w:hideMark/>
          </w:tcPr>
          <w:p w14:paraId="6F70A3B4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Strukturering</w:t>
            </w:r>
          </w:p>
        </w:tc>
        <w:tc>
          <w:tcPr>
            <w:tcW w:w="4536" w:type="dxa"/>
            <w:hideMark/>
          </w:tcPr>
          <w:p w14:paraId="4F452A39" w14:textId="77777777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Etablering af ny ISMS-platform eller dokumentationsstruktur</w:t>
            </w:r>
          </w:p>
        </w:tc>
        <w:tc>
          <w:tcPr>
            <w:tcW w:w="4253" w:type="dxa"/>
            <w:hideMark/>
          </w:tcPr>
          <w:p w14:paraId="2B71B409" w14:textId="04B5A14B" w:rsidR="00035D38" w:rsidRPr="002D53FC" w:rsidRDefault="00035D38" w:rsidP="00DC1C31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Effektivisering og auditdokumentation</w:t>
            </w:r>
          </w:p>
        </w:tc>
        <w:tc>
          <w:tcPr>
            <w:tcW w:w="2126" w:type="dxa"/>
          </w:tcPr>
          <w:p w14:paraId="4CEB52B7" w14:textId="06B40F12" w:rsidR="00035D38" w:rsidRPr="002D53FC" w:rsidRDefault="00BF4401" w:rsidP="00DC1C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6, § 12</w:t>
            </w:r>
          </w:p>
        </w:tc>
      </w:tr>
      <w:tr w:rsidR="00035D38" w:rsidRPr="002D53FC" w14:paraId="629127B8" w14:textId="2E8BB094" w:rsidTr="00D65B9E">
        <w:trPr>
          <w:cantSplit/>
        </w:trPr>
        <w:tc>
          <w:tcPr>
            <w:tcW w:w="1276" w:type="dxa"/>
            <w:hideMark/>
          </w:tcPr>
          <w:p w14:paraId="61FC211D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Ad hoc</w:t>
            </w:r>
          </w:p>
        </w:tc>
        <w:tc>
          <w:tcPr>
            <w:tcW w:w="1559" w:type="dxa"/>
            <w:hideMark/>
          </w:tcPr>
          <w:p w14:paraId="208F40D6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Juridisk</w:t>
            </w:r>
          </w:p>
        </w:tc>
        <w:tc>
          <w:tcPr>
            <w:tcW w:w="4536" w:type="dxa"/>
            <w:hideMark/>
          </w:tcPr>
          <w:p w14:paraId="32B7096A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Strategisk opdatering af politikker ved ændringer i lovgivning</w:t>
            </w:r>
          </w:p>
        </w:tc>
        <w:tc>
          <w:tcPr>
            <w:tcW w:w="4253" w:type="dxa"/>
            <w:hideMark/>
          </w:tcPr>
          <w:p w14:paraId="32F0FFC6" w14:textId="7CDB75E9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Retlig compliance og organisatorisk alignment</w:t>
            </w:r>
          </w:p>
        </w:tc>
        <w:tc>
          <w:tcPr>
            <w:tcW w:w="2126" w:type="dxa"/>
          </w:tcPr>
          <w:p w14:paraId="4001E266" w14:textId="2102D00D" w:rsidR="00035D38" w:rsidRPr="002D53FC" w:rsidRDefault="00BF4401" w:rsidP="009211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6</w:t>
            </w:r>
          </w:p>
        </w:tc>
      </w:tr>
      <w:tr w:rsidR="00035D38" w:rsidRPr="002D53FC" w14:paraId="6B442095" w14:textId="530C803E" w:rsidTr="00D65B9E">
        <w:trPr>
          <w:cantSplit/>
        </w:trPr>
        <w:tc>
          <w:tcPr>
            <w:tcW w:w="1276" w:type="dxa"/>
            <w:hideMark/>
          </w:tcPr>
          <w:p w14:paraId="75ADA10C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Ad hoc</w:t>
            </w:r>
          </w:p>
        </w:tc>
        <w:tc>
          <w:tcPr>
            <w:tcW w:w="1559" w:type="dxa"/>
            <w:hideMark/>
          </w:tcPr>
          <w:p w14:paraId="21083615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Onboarding</w:t>
            </w:r>
            <w:proofErr w:type="spellEnd"/>
          </w:p>
        </w:tc>
        <w:tc>
          <w:tcPr>
            <w:tcW w:w="4536" w:type="dxa"/>
            <w:hideMark/>
          </w:tcPr>
          <w:p w14:paraId="530F8CAF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Onboarding</w:t>
            </w:r>
            <w:proofErr w:type="spellEnd"/>
            <w:r w:rsidRPr="002D53FC">
              <w:rPr>
                <w:rFonts w:ascii="Calibri" w:hAnsi="Calibri" w:cs="Calibri"/>
                <w:sz w:val="22"/>
                <w:szCs w:val="22"/>
              </w:rPr>
              <w:t xml:space="preserve"> af ny databehandler eller systemleverandør</w:t>
            </w:r>
          </w:p>
        </w:tc>
        <w:tc>
          <w:tcPr>
            <w:tcW w:w="4253" w:type="dxa"/>
            <w:hideMark/>
          </w:tcPr>
          <w:p w14:paraId="1694F33D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Kontraktuel og teknisk vurdering</w:t>
            </w:r>
          </w:p>
        </w:tc>
        <w:tc>
          <w:tcPr>
            <w:tcW w:w="2126" w:type="dxa"/>
          </w:tcPr>
          <w:p w14:paraId="21A0BBD1" w14:textId="54C587E2" w:rsidR="00035D38" w:rsidRPr="002D53FC" w:rsidRDefault="00B1195D" w:rsidP="009211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6</w:t>
            </w:r>
          </w:p>
        </w:tc>
      </w:tr>
      <w:tr w:rsidR="00035D38" w:rsidRPr="002D53FC" w14:paraId="4218D17A" w14:textId="5BAE28E2" w:rsidTr="00D65B9E">
        <w:trPr>
          <w:cantSplit/>
        </w:trPr>
        <w:tc>
          <w:tcPr>
            <w:tcW w:w="1276" w:type="dxa"/>
            <w:hideMark/>
          </w:tcPr>
          <w:p w14:paraId="2FA2E187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Ad hoc</w:t>
            </w:r>
          </w:p>
        </w:tc>
        <w:tc>
          <w:tcPr>
            <w:tcW w:w="1559" w:type="dxa"/>
            <w:hideMark/>
          </w:tcPr>
          <w:p w14:paraId="16B2B304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Awareness</w:t>
            </w:r>
            <w:proofErr w:type="spellEnd"/>
          </w:p>
        </w:tc>
        <w:tc>
          <w:tcPr>
            <w:tcW w:w="4536" w:type="dxa"/>
            <w:hideMark/>
          </w:tcPr>
          <w:p w14:paraId="608A520E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Awareness</w:t>
            </w:r>
            <w:proofErr w:type="spellEnd"/>
            <w:r w:rsidRPr="002D53FC">
              <w:rPr>
                <w:rFonts w:ascii="Calibri" w:hAnsi="Calibri" w:cs="Calibri"/>
                <w:sz w:val="22"/>
                <w:szCs w:val="22"/>
              </w:rPr>
              <w:t>-indsats ved organisatoriske ændringer</w:t>
            </w:r>
          </w:p>
        </w:tc>
        <w:tc>
          <w:tcPr>
            <w:tcW w:w="4253" w:type="dxa"/>
            <w:hideMark/>
          </w:tcPr>
          <w:p w14:paraId="357AC65E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Kulturtilpasning og risikoforståelse</w:t>
            </w:r>
          </w:p>
        </w:tc>
        <w:tc>
          <w:tcPr>
            <w:tcW w:w="2126" w:type="dxa"/>
          </w:tcPr>
          <w:p w14:paraId="43633C1F" w14:textId="5AF614AB" w:rsidR="00035D38" w:rsidRPr="002D53FC" w:rsidRDefault="00B1195D" w:rsidP="009211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6</w:t>
            </w:r>
          </w:p>
        </w:tc>
      </w:tr>
      <w:tr w:rsidR="00035D38" w:rsidRPr="002D53FC" w14:paraId="35A79EDA" w14:textId="0880C8F8" w:rsidTr="00D65B9E">
        <w:trPr>
          <w:cantSplit/>
        </w:trPr>
        <w:tc>
          <w:tcPr>
            <w:tcW w:w="1276" w:type="dxa"/>
            <w:hideMark/>
          </w:tcPr>
          <w:p w14:paraId="4D28FA2E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Ad hoc</w:t>
            </w:r>
          </w:p>
        </w:tc>
        <w:tc>
          <w:tcPr>
            <w:tcW w:w="1559" w:type="dxa"/>
            <w:hideMark/>
          </w:tcPr>
          <w:p w14:paraId="38128DC7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Beredskab</w:t>
            </w:r>
          </w:p>
        </w:tc>
        <w:tc>
          <w:tcPr>
            <w:tcW w:w="4536" w:type="dxa"/>
            <w:hideMark/>
          </w:tcPr>
          <w:p w14:paraId="3AD5E7AE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 xml:space="preserve">Etablering af incident </w:t>
            </w: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response</w:t>
            </w:r>
            <w:proofErr w:type="spellEnd"/>
            <w:r w:rsidRPr="002D53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D53FC">
              <w:rPr>
                <w:rFonts w:ascii="Calibri" w:hAnsi="Calibri" w:cs="Calibri"/>
                <w:sz w:val="22"/>
                <w:szCs w:val="22"/>
              </w:rPr>
              <w:t>playbooks</w:t>
            </w:r>
            <w:proofErr w:type="spellEnd"/>
          </w:p>
        </w:tc>
        <w:tc>
          <w:tcPr>
            <w:tcW w:w="4253" w:type="dxa"/>
            <w:hideMark/>
          </w:tcPr>
          <w:p w14:paraId="3B25D6A0" w14:textId="77777777" w:rsidR="00035D38" w:rsidRPr="002D53FC" w:rsidRDefault="00035D38" w:rsidP="0092113D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D53FC">
              <w:rPr>
                <w:rFonts w:ascii="Calibri" w:hAnsi="Calibri" w:cs="Calibri"/>
                <w:sz w:val="22"/>
                <w:szCs w:val="22"/>
              </w:rPr>
              <w:t>Standardisering af hændelseshåndtering</w:t>
            </w:r>
          </w:p>
        </w:tc>
        <w:tc>
          <w:tcPr>
            <w:tcW w:w="2126" w:type="dxa"/>
          </w:tcPr>
          <w:p w14:paraId="4FAA91B5" w14:textId="6E2D269F" w:rsidR="00035D38" w:rsidRPr="002D53FC" w:rsidRDefault="00B1195D" w:rsidP="009211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§ 13, § 15</w:t>
            </w:r>
          </w:p>
        </w:tc>
      </w:tr>
    </w:tbl>
    <w:p w14:paraId="628CF999" w14:textId="77777777" w:rsidR="00574D97" w:rsidRDefault="00574D97" w:rsidP="00273BFD"/>
    <w:p w14:paraId="0B1A461A" w14:textId="77777777" w:rsidR="00494AA9" w:rsidRPr="00574D97" w:rsidRDefault="00494AA9" w:rsidP="00273BFD"/>
    <w:sectPr w:rsidR="00494AA9" w:rsidRPr="00574D97" w:rsidSect="00863C1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1E03"/>
    <w:multiLevelType w:val="hybridMultilevel"/>
    <w:tmpl w:val="206E84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96056"/>
    <w:multiLevelType w:val="hybridMultilevel"/>
    <w:tmpl w:val="E5E41608"/>
    <w:lvl w:ilvl="0" w:tplc="A8E63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169EB"/>
    <w:multiLevelType w:val="multilevel"/>
    <w:tmpl w:val="6A0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578521">
    <w:abstractNumId w:val="0"/>
  </w:num>
  <w:num w:numId="2" w16cid:durableId="2042899195">
    <w:abstractNumId w:val="2"/>
  </w:num>
  <w:num w:numId="3" w16cid:durableId="128322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35D38"/>
    <w:rsid w:val="000B0FC8"/>
    <w:rsid w:val="000B4F11"/>
    <w:rsid w:val="000C7CE7"/>
    <w:rsid w:val="000E78B9"/>
    <w:rsid w:val="000F45F9"/>
    <w:rsid w:val="000F4DA4"/>
    <w:rsid w:val="00131775"/>
    <w:rsid w:val="00135B81"/>
    <w:rsid w:val="00176632"/>
    <w:rsid w:val="00183181"/>
    <w:rsid w:val="00191A11"/>
    <w:rsid w:val="001A230E"/>
    <w:rsid w:val="001A28C8"/>
    <w:rsid w:val="001D4B9B"/>
    <w:rsid w:val="001E2D40"/>
    <w:rsid w:val="00262B87"/>
    <w:rsid w:val="00273BFD"/>
    <w:rsid w:val="002B6DB2"/>
    <w:rsid w:val="002C19B0"/>
    <w:rsid w:val="002C4FA7"/>
    <w:rsid w:val="002D53FC"/>
    <w:rsid w:val="002E1284"/>
    <w:rsid w:val="002F6CA6"/>
    <w:rsid w:val="00305AB7"/>
    <w:rsid w:val="00307223"/>
    <w:rsid w:val="00340740"/>
    <w:rsid w:val="00373215"/>
    <w:rsid w:val="00381B0B"/>
    <w:rsid w:val="00387B19"/>
    <w:rsid w:val="00397B9A"/>
    <w:rsid w:val="003F0DF1"/>
    <w:rsid w:val="00406CEB"/>
    <w:rsid w:val="0041138C"/>
    <w:rsid w:val="004208FE"/>
    <w:rsid w:val="00473A55"/>
    <w:rsid w:val="0047582C"/>
    <w:rsid w:val="00477A8D"/>
    <w:rsid w:val="00494AA9"/>
    <w:rsid w:val="004A10D6"/>
    <w:rsid w:val="004D6714"/>
    <w:rsid w:val="004F296A"/>
    <w:rsid w:val="004F2D79"/>
    <w:rsid w:val="004F6D9B"/>
    <w:rsid w:val="00502C45"/>
    <w:rsid w:val="00507D6F"/>
    <w:rsid w:val="00552765"/>
    <w:rsid w:val="0055740F"/>
    <w:rsid w:val="00574517"/>
    <w:rsid w:val="00574D97"/>
    <w:rsid w:val="005757BF"/>
    <w:rsid w:val="005D157E"/>
    <w:rsid w:val="005E265C"/>
    <w:rsid w:val="005F0E43"/>
    <w:rsid w:val="0060624E"/>
    <w:rsid w:val="00633A9B"/>
    <w:rsid w:val="00643B2C"/>
    <w:rsid w:val="00671DF6"/>
    <w:rsid w:val="00672694"/>
    <w:rsid w:val="006735AB"/>
    <w:rsid w:val="006742BE"/>
    <w:rsid w:val="00686A00"/>
    <w:rsid w:val="006D2612"/>
    <w:rsid w:val="006E3FFE"/>
    <w:rsid w:val="0071610C"/>
    <w:rsid w:val="00730D58"/>
    <w:rsid w:val="0075293A"/>
    <w:rsid w:val="007535D1"/>
    <w:rsid w:val="0076292D"/>
    <w:rsid w:val="00764345"/>
    <w:rsid w:val="00780FE7"/>
    <w:rsid w:val="00783A9F"/>
    <w:rsid w:val="00785196"/>
    <w:rsid w:val="007C217F"/>
    <w:rsid w:val="00800360"/>
    <w:rsid w:val="00802E6F"/>
    <w:rsid w:val="00804FAD"/>
    <w:rsid w:val="00810F49"/>
    <w:rsid w:val="00813091"/>
    <w:rsid w:val="00817AB7"/>
    <w:rsid w:val="00863C11"/>
    <w:rsid w:val="00871025"/>
    <w:rsid w:val="008B2021"/>
    <w:rsid w:val="008F19D7"/>
    <w:rsid w:val="009018DC"/>
    <w:rsid w:val="00904390"/>
    <w:rsid w:val="00915924"/>
    <w:rsid w:val="0092113D"/>
    <w:rsid w:val="00921A20"/>
    <w:rsid w:val="009A0F54"/>
    <w:rsid w:val="009B4BEC"/>
    <w:rsid w:val="009E03C1"/>
    <w:rsid w:val="00A007A3"/>
    <w:rsid w:val="00A016D4"/>
    <w:rsid w:val="00A07C97"/>
    <w:rsid w:val="00A10B44"/>
    <w:rsid w:val="00A179C8"/>
    <w:rsid w:val="00A4333F"/>
    <w:rsid w:val="00A529C5"/>
    <w:rsid w:val="00A64246"/>
    <w:rsid w:val="00A6734F"/>
    <w:rsid w:val="00A946CD"/>
    <w:rsid w:val="00AA5BCA"/>
    <w:rsid w:val="00AA753A"/>
    <w:rsid w:val="00AC1C38"/>
    <w:rsid w:val="00AE559A"/>
    <w:rsid w:val="00B1195D"/>
    <w:rsid w:val="00B318F3"/>
    <w:rsid w:val="00B444C4"/>
    <w:rsid w:val="00B6113F"/>
    <w:rsid w:val="00B65909"/>
    <w:rsid w:val="00B8382A"/>
    <w:rsid w:val="00B8522A"/>
    <w:rsid w:val="00BA10AB"/>
    <w:rsid w:val="00BB41A2"/>
    <w:rsid w:val="00BE3C17"/>
    <w:rsid w:val="00BF4401"/>
    <w:rsid w:val="00BF608F"/>
    <w:rsid w:val="00BF70E3"/>
    <w:rsid w:val="00C238C7"/>
    <w:rsid w:val="00C341F6"/>
    <w:rsid w:val="00C37980"/>
    <w:rsid w:val="00C47355"/>
    <w:rsid w:val="00C55C76"/>
    <w:rsid w:val="00C75D21"/>
    <w:rsid w:val="00C9777C"/>
    <w:rsid w:val="00CA2B6F"/>
    <w:rsid w:val="00CA7FAA"/>
    <w:rsid w:val="00CD1301"/>
    <w:rsid w:val="00CD74CD"/>
    <w:rsid w:val="00CE6119"/>
    <w:rsid w:val="00CF54FA"/>
    <w:rsid w:val="00D04FD2"/>
    <w:rsid w:val="00D435DB"/>
    <w:rsid w:val="00D46F75"/>
    <w:rsid w:val="00D65B9E"/>
    <w:rsid w:val="00DA33F7"/>
    <w:rsid w:val="00DC1C31"/>
    <w:rsid w:val="00DD30BD"/>
    <w:rsid w:val="00DE66E5"/>
    <w:rsid w:val="00E26336"/>
    <w:rsid w:val="00E37E89"/>
    <w:rsid w:val="00E627A5"/>
    <w:rsid w:val="00EA4AF9"/>
    <w:rsid w:val="00EB0D8D"/>
    <w:rsid w:val="00EC6746"/>
    <w:rsid w:val="00EE1AF5"/>
    <w:rsid w:val="00EF2ED5"/>
    <w:rsid w:val="00EF76C5"/>
    <w:rsid w:val="00F33B84"/>
    <w:rsid w:val="00F34571"/>
    <w:rsid w:val="00F47329"/>
    <w:rsid w:val="00F47821"/>
    <w:rsid w:val="00F62F3B"/>
    <w:rsid w:val="00F64A1F"/>
    <w:rsid w:val="00F66841"/>
    <w:rsid w:val="00F723CF"/>
    <w:rsid w:val="00F7422B"/>
    <w:rsid w:val="00FA486B"/>
    <w:rsid w:val="00F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4583"/>
  <w15:chartTrackingRefBased/>
  <w15:docId w15:val="{7D4BC2C1-7D9A-45EC-87B8-52938A4A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301"/>
  </w:style>
  <w:style w:type="paragraph" w:styleId="Overskrift1">
    <w:name w:val="heading 1"/>
    <w:basedOn w:val="Normal"/>
    <w:next w:val="Normal"/>
    <w:link w:val="Overskrift1Tegn"/>
    <w:uiPriority w:val="9"/>
    <w:qFormat/>
    <w:rsid w:val="00D43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3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3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3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3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3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3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3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3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3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35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35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35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35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35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3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3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3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3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35D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35D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35D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35D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D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179C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17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videncenter.kl.dk/viden-og-vaerktoejer/databeskyttelse-cyber-og-informationssikkerhed/cyber-og-informationssikkerhed/aarshj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FEF7CBE6-8AEB-49D4-89DE-FA832C84ED8E" xsi:nil="true"/>
    <CCMCognitiveType xmlns="http://schemas.microsoft.com/sharepoint/v3" xsi:nil="true"/>
    <DocumentDescription xmlns="FEF7CBE6-8AEB-49D4-89DE-FA832C84ED8E" xsi:nil="true"/>
    <AgendaStatusIcon xmlns="FEF7CBE6-8AEB-49D4-89DE-FA832C84ED8E" xsi:nil="true"/>
    <CCMMeetingCaseLink xmlns="FEF7CBE6-8AEB-49D4-89DE-FA832C84ED8E">
      <Url xsi:nil="true"/>
      <Description xsi:nil="true"/>
    </CCMMeetingCaseLink>
    <CCMAgendaItemId xmlns="FEF7CBE6-8AEB-49D4-89DE-FA832C84ED8E" xsi:nil="true"/>
    <CCMDocumentReadIndicator xmlns="http://schemas.microsoft.com/sharepoint/v3" xsi:nil="true"/>
    <CCMMeetingCaseId xmlns="FEF7CBE6-8AEB-49D4-89DE-FA832C84ED8E" xsi:nil="true"/>
    <Sender xmlns="fef7cbe6-8aeb-49d4-89de-fa832c84ed8e" xsi:nil="true"/>
    <Date xmlns="fef7cbe6-8aeb-49d4-89de-fa832c84ed8e" xsi:nil="true"/>
    <CCMAgendaDocumentStatus xmlns="FEF7CBE6-8AEB-49D4-89DE-FA832C84ED8E" xsi:nil="true"/>
    <Classification xmlns="fef7cbe6-8aeb-49d4-89de-fa832c84ed8e" xsi:nil="true"/>
    <Dokumenttype xmlns="FEF7CBE6-8AEB-49D4-89DE-FA832C84ED8E">Notat</Dokumenttype>
    <CCMMeetingCaseInstanceId xmlns="FEF7CBE6-8AEB-49D4-89DE-FA832C84ED8E" xsi:nil="true"/>
    <Recipient xmlns="fef7cbe6-8aeb-49d4-89de-fa832c84ed8e"/>
    <CCMMetadataExtractionStatus xmlns="http://schemas.microsoft.com/sharepoint/v3">CCMPageCount:Idle;CCMCommentCount:Idle</CCMMetadataExtractionStatus>
    <LocalAttachment xmlns="http://schemas.microsoft.com/sharepoint/v3">false</LocalAttachment>
    <Finalized xmlns="http://schemas.microsoft.com/sharepoint/v3">false</Finalized>
    <CCMPageCount xmlns="http://schemas.microsoft.com/sharepoint/v3">5</CCMPageCount>
    <DocID xmlns="http://schemas.microsoft.com/sharepoint/v3">3649426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SAG-2025-02579</CaseID>
    <RegistrationDate xmlns="http://schemas.microsoft.com/sharepoint/v3" xsi:nil="true"/>
    <CaseRecordNumber xmlns="http://schemas.microsoft.com/sharepoint/v3">0</CaseRecordNumber>
    <CCMPreviewAnnotationsTasks xmlns="http://schemas.microsoft.com/sharepoint/v3">0</CCMPreviewAnnotationsTasks>
    <Related xmlns="http://schemas.microsoft.com/sharepoint/v3">false</Related>
    <CCMVisualId xmlns="http://schemas.microsoft.com/sharepoint/v3">SAG-2025-02579</CCMVisualId>
    <CCMSystemID xmlns="http://schemas.microsoft.com/sharepoint/v3">ca7dc1c5-fc98-48bd-8345-b1ffede9fa82</CCMSystemID>
    <WasEncrypted xmlns="http://schemas.microsoft.com/sharepoint/v3">false</WasEncrypted>
    <WasSigned xmlns="http://schemas.microsoft.com/sharepoint/v3">false</WasSig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50F499CACEE7F46957461059CC529EC" ma:contentTypeVersion="4" ma:contentTypeDescription="GetOrganized dokument" ma:contentTypeScope="" ma:versionID="2a0a6c100b6a3140ea99ab97bac53d25">
  <xsd:schema xmlns:xsd="http://www.w3.org/2001/XMLSchema" xmlns:xs="http://www.w3.org/2001/XMLSchema" xmlns:p="http://schemas.microsoft.com/office/2006/metadata/properties" xmlns:ns1="http://schemas.microsoft.com/sharepoint/v3" xmlns:ns2="FEF7CBE6-8AEB-49D4-89DE-FA832C84ED8E" xmlns:ns3="fef7cbe6-8aeb-49d4-89de-fa832c84ed8e" targetNamespace="http://schemas.microsoft.com/office/2006/metadata/properties" ma:root="true" ma:fieldsID="549726d99e57e36dfa3ccab9cf17e1fb" ns1:_="" ns2:_="" ns3:_="">
    <xsd:import namespace="http://schemas.microsoft.com/sharepoint/v3"/>
    <xsd:import namespace="FEF7CBE6-8AEB-49D4-89DE-FA832C84ED8E"/>
    <xsd:import namespace="fef7cbe6-8aeb-49d4-89de-fa832c84ed8e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3:Classification" minOccurs="0"/>
                <xsd:element ref="ns3:Recipient" minOccurs="0"/>
                <xsd:element ref="ns3:Sender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dacc4360-2e09-4c4f-97aa-aad81c8c00d0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dacc4360-2e09-4c4f-97aa-aad81c8c00d0}" ma:internalName="Sender" ma:showField="Email">
      <xsd:simpleType>
        <xsd:restriction base="dms:Lookup"/>
      </xsd:simpleType>
    </xsd:element>
    <xsd:element name="Date" ma:index="47" nillable="true" ma:displayName="Modtaget dato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678B1-DDB3-46B9-8457-E078E8B4B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35E1C-41C4-4A97-8877-2181F5027421}"/>
</file>

<file path=customXml/itemProps3.xml><?xml version="1.0" encoding="utf-8"?>
<ds:datastoreItem xmlns:ds="http://schemas.openxmlformats.org/officeDocument/2006/customXml" ds:itemID="{E8503568-9409-4277-A14A-01B34114E3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420E30-786B-4828-A916-A9DCF057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425949-cceb-4bd3-9014-e18ddf8647b1}" enabled="1" method="Standard" siteId="{ec8d8edf-0476-40ca-88fd-f40ff0a1e6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855</Words>
  <Characters>5821</Characters>
  <Application>Microsoft Office Word</Application>
  <DocSecurity>0</DocSecurity>
  <Lines>235</Lines>
  <Paragraphs>192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ISU-årshjul</dc:title>
  <dc:subject/>
  <dc:creator>Teia Melvej Stennevad</dc:creator>
  <cp:keywords/>
  <dc:description/>
  <cp:lastModifiedBy>Caroline Cecilie von Düring Lausen</cp:lastModifiedBy>
  <cp:revision>41</cp:revision>
  <dcterms:created xsi:type="dcterms:W3CDTF">2025-10-31T13:03:00Z</dcterms:created>
  <dcterms:modified xsi:type="dcterms:W3CDTF">2025-12-10T14:56:00Z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0x010100AC085CFC53BC46CEA2EADE194AD9D48200650F499CACEE7F46957461059CC529EC</vt:lpwstr>
  </property>
  <property fmtid="{D5CDD505-2E9C-101B-9397-08002B2CF9AE}" pid="3" name="xd_Signature">
    <vt:bool>false</vt:bool>
  </property>
  <property fmtid="{D5CDD505-2E9C-101B-9397-08002B2CF9AE}" pid="4" name="CCMPostListPublishStatus">
    <vt:lpwstr>Afventer godkendelse</vt:lpwstr>
  </property>
  <property fmtid="{D5CDD505-2E9C-101B-9397-08002B2CF9AE}" pid="5" name="CCMOneDriveID">
    <vt:lpwstr/>
  </property>
  <property fmtid="{D5CDD505-2E9C-101B-9397-08002B2CF9AE}" pid="6" name="CCMMustBeOnPostList">
    <vt:bool>true</vt:bool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</Properties>
</file>