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DE2225" w14:textId="53CC498D" w:rsidR="0043698F" w:rsidRPr="008D2084" w:rsidRDefault="00D26EF6" w:rsidP="00FD5B09">
      <w:pPr>
        <w:rPr>
          <w:rFonts w:cstheme="minorHAnsi"/>
          <w:b/>
          <w:bCs/>
          <w:sz w:val="28"/>
          <w:szCs w:val="28"/>
        </w:rPr>
      </w:pPr>
      <w:r w:rsidRPr="008D2084">
        <w:rPr>
          <w:rFonts w:cstheme="minorHAnsi"/>
          <w:b/>
          <w:bCs/>
          <w:sz w:val="28"/>
          <w:szCs w:val="28"/>
        </w:rPr>
        <w:t>I</w:t>
      </w:r>
      <w:r w:rsidR="00304FE2" w:rsidRPr="008D2084">
        <w:rPr>
          <w:rFonts w:cstheme="minorHAnsi"/>
          <w:b/>
          <w:bCs/>
          <w:sz w:val="28"/>
          <w:szCs w:val="28"/>
        </w:rPr>
        <w:t xml:space="preserve">nstruks </w:t>
      </w:r>
      <w:r w:rsidRPr="008D2084">
        <w:rPr>
          <w:rFonts w:cstheme="minorHAnsi"/>
          <w:b/>
          <w:bCs/>
          <w:sz w:val="28"/>
          <w:szCs w:val="28"/>
        </w:rPr>
        <w:t xml:space="preserve">for anlæggelse og </w:t>
      </w:r>
      <w:r w:rsidR="00304FE2" w:rsidRPr="008D2084">
        <w:rPr>
          <w:rFonts w:cstheme="minorHAnsi"/>
          <w:b/>
          <w:bCs/>
          <w:sz w:val="28"/>
          <w:szCs w:val="28"/>
        </w:rPr>
        <w:t>genanlæggelse af nasalsonde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8D2084" w:rsidRPr="008D2084" w14:paraId="38F74E30" w14:textId="77777777" w:rsidTr="00245599">
        <w:tc>
          <w:tcPr>
            <w:tcW w:w="4814" w:type="dxa"/>
          </w:tcPr>
          <w:p w14:paraId="5BE02BD8" w14:textId="72FA89A8" w:rsidR="00245599" w:rsidRPr="00BB67A8" w:rsidRDefault="00D23B0B" w:rsidP="00FD5B09">
            <w:pPr>
              <w:rPr>
                <w:rFonts w:cstheme="minorHAnsi"/>
                <w:b/>
                <w:bCs/>
              </w:rPr>
            </w:pPr>
            <w:r w:rsidRPr="00BB67A8">
              <w:rPr>
                <w:rFonts w:cstheme="minorHAnsi"/>
                <w:b/>
                <w:bCs/>
              </w:rPr>
              <w:t>Skabelon u</w:t>
            </w:r>
            <w:r w:rsidR="00245599" w:rsidRPr="00BB67A8">
              <w:rPr>
                <w:rFonts w:cstheme="minorHAnsi"/>
                <w:b/>
                <w:bCs/>
              </w:rPr>
              <w:t>darbejdet af</w:t>
            </w:r>
            <w:r w:rsidR="00C402CF" w:rsidRPr="00BB67A8">
              <w:rPr>
                <w:rFonts w:cstheme="minorHAnsi"/>
                <w:b/>
                <w:bCs/>
              </w:rPr>
              <w:t xml:space="preserve">: </w:t>
            </w:r>
            <w:r w:rsidR="00A25662" w:rsidRPr="00BB67A8">
              <w:rPr>
                <w:rFonts w:cstheme="minorHAnsi"/>
                <w:b/>
                <w:bCs/>
              </w:rPr>
              <w:t>National arbejdsgruppe</w:t>
            </w:r>
          </w:p>
          <w:p w14:paraId="2CD0E053" w14:textId="3B28E982" w:rsidR="0074716D" w:rsidRPr="008D2084" w:rsidRDefault="00D23B0B" w:rsidP="00125704">
            <w:pPr>
              <w:spacing w:after="120"/>
              <w:rPr>
                <w:rFonts w:cstheme="minorHAnsi"/>
                <w:b/>
                <w:bCs/>
              </w:rPr>
            </w:pPr>
            <w:r w:rsidRPr="00BB67A8">
              <w:rPr>
                <w:rFonts w:cstheme="minorHAnsi"/>
                <w:b/>
                <w:bCs/>
              </w:rPr>
              <w:t>Skabelon tilpasset af:</w:t>
            </w:r>
            <w:r>
              <w:rPr>
                <w:rFonts w:cstheme="minorHAnsi"/>
                <w:b/>
                <w:bCs/>
              </w:rPr>
              <w:t xml:space="preserve"> </w:t>
            </w:r>
          </w:p>
        </w:tc>
        <w:tc>
          <w:tcPr>
            <w:tcW w:w="4814" w:type="dxa"/>
          </w:tcPr>
          <w:p w14:paraId="643AA5CB" w14:textId="7449F430" w:rsidR="00245599" w:rsidRPr="008D2084" w:rsidRDefault="00245599" w:rsidP="00FD5B09">
            <w:pPr>
              <w:rPr>
                <w:rFonts w:cstheme="minorHAnsi"/>
                <w:b/>
                <w:bCs/>
              </w:rPr>
            </w:pPr>
            <w:r w:rsidRPr="008D2084">
              <w:rPr>
                <w:rFonts w:cstheme="minorHAnsi"/>
                <w:b/>
                <w:bCs/>
              </w:rPr>
              <w:t>Gyldighedsperiode</w:t>
            </w:r>
            <w:r w:rsidR="00C402CF" w:rsidRPr="008D2084">
              <w:rPr>
                <w:rFonts w:cstheme="minorHAnsi"/>
                <w:b/>
                <w:bCs/>
              </w:rPr>
              <w:t xml:space="preserve">: </w:t>
            </w:r>
            <w:r w:rsidR="00253F4E">
              <w:rPr>
                <w:rFonts w:cstheme="minorHAnsi"/>
                <w:b/>
                <w:bCs/>
              </w:rPr>
              <w:t>xx</w:t>
            </w:r>
            <w:r w:rsidR="00FD0D9A" w:rsidRPr="008D2084">
              <w:rPr>
                <w:rFonts w:cstheme="minorHAnsi"/>
                <w:b/>
                <w:bCs/>
              </w:rPr>
              <w:t>-</w:t>
            </w:r>
            <w:r w:rsidR="00253F4E">
              <w:rPr>
                <w:rFonts w:cstheme="minorHAnsi"/>
                <w:b/>
                <w:bCs/>
              </w:rPr>
              <w:t>xx</w:t>
            </w:r>
            <w:r w:rsidR="00FD0D9A" w:rsidRPr="008D2084">
              <w:rPr>
                <w:rFonts w:cstheme="minorHAnsi"/>
                <w:b/>
                <w:bCs/>
              </w:rPr>
              <w:t>-</w:t>
            </w:r>
            <w:proofErr w:type="spellStart"/>
            <w:r w:rsidR="00253F4E">
              <w:rPr>
                <w:rFonts w:cstheme="minorHAnsi"/>
                <w:b/>
                <w:bCs/>
              </w:rPr>
              <w:t>xxxx</w:t>
            </w:r>
            <w:proofErr w:type="spellEnd"/>
          </w:p>
        </w:tc>
      </w:tr>
      <w:tr w:rsidR="00245599" w:rsidRPr="008D2084" w14:paraId="2A2F2C68" w14:textId="77777777" w:rsidTr="00245599">
        <w:tc>
          <w:tcPr>
            <w:tcW w:w="4814" w:type="dxa"/>
          </w:tcPr>
          <w:p w14:paraId="027F616E" w14:textId="77777777" w:rsidR="00245599" w:rsidRPr="008D2084" w:rsidRDefault="00245599" w:rsidP="00FD5B09">
            <w:pPr>
              <w:rPr>
                <w:rFonts w:cstheme="minorHAnsi"/>
                <w:b/>
                <w:bCs/>
              </w:rPr>
            </w:pPr>
            <w:r w:rsidRPr="008D2084">
              <w:rPr>
                <w:rFonts w:cstheme="minorHAnsi"/>
                <w:b/>
                <w:bCs/>
              </w:rPr>
              <w:t>Godkendt af</w:t>
            </w:r>
            <w:r w:rsidR="00C402CF" w:rsidRPr="008D2084">
              <w:rPr>
                <w:rFonts w:cstheme="minorHAnsi"/>
                <w:b/>
                <w:bCs/>
              </w:rPr>
              <w:t xml:space="preserve">: </w:t>
            </w:r>
            <w:r w:rsidR="00FD0D9A" w:rsidRPr="008D2084">
              <w:rPr>
                <w:rFonts w:cstheme="minorHAnsi"/>
                <w:b/>
                <w:bCs/>
              </w:rPr>
              <w:t>xx-xx-</w:t>
            </w:r>
            <w:proofErr w:type="spellStart"/>
            <w:r w:rsidR="00FD0D9A" w:rsidRPr="008D2084">
              <w:rPr>
                <w:rFonts w:cstheme="minorHAnsi"/>
                <w:b/>
                <w:bCs/>
              </w:rPr>
              <w:t>xxxx</w:t>
            </w:r>
            <w:proofErr w:type="spellEnd"/>
          </w:p>
        </w:tc>
        <w:tc>
          <w:tcPr>
            <w:tcW w:w="4814" w:type="dxa"/>
          </w:tcPr>
          <w:p w14:paraId="6BC97234" w14:textId="248FB3C7" w:rsidR="00245599" w:rsidRPr="008D2084" w:rsidRDefault="003C70D6" w:rsidP="00FB0034">
            <w:pPr>
              <w:spacing w:after="120"/>
              <w:rPr>
                <w:rFonts w:cstheme="minorHAnsi"/>
                <w:b/>
                <w:bCs/>
              </w:rPr>
            </w:pPr>
            <w:r w:rsidRPr="008D2084">
              <w:rPr>
                <w:rFonts w:cstheme="minorHAnsi"/>
                <w:b/>
                <w:bCs/>
              </w:rPr>
              <w:t>Seneste revision: xx-xx-</w:t>
            </w:r>
            <w:proofErr w:type="spellStart"/>
            <w:r w:rsidRPr="008D2084">
              <w:rPr>
                <w:rFonts w:cstheme="minorHAnsi"/>
                <w:b/>
                <w:bCs/>
              </w:rPr>
              <w:t>xxxx</w:t>
            </w:r>
            <w:proofErr w:type="spellEnd"/>
          </w:p>
        </w:tc>
      </w:tr>
    </w:tbl>
    <w:p w14:paraId="71DDE6CF" w14:textId="77777777" w:rsidR="00245599" w:rsidRPr="008D2084" w:rsidRDefault="00245599" w:rsidP="00FD5B09">
      <w:pPr>
        <w:rPr>
          <w:rFonts w:cstheme="minorHAnsi"/>
          <w:b/>
          <w:bCs/>
        </w:rPr>
      </w:pPr>
    </w:p>
    <w:tbl>
      <w:tblPr>
        <w:tblStyle w:val="Tabel-Gitter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7506"/>
      </w:tblGrid>
      <w:tr w:rsidR="008D2084" w:rsidRPr="008D2084" w14:paraId="04C15284" w14:textId="77777777" w:rsidTr="00125704">
        <w:tc>
          <w:tcPr>
            <w:tcW w:w="2122" w:type="dxa"/>
          </w:tcPr>
          <w:p w14:paraId="68EC913A" w14:textId="77777777" w:rsidR="00FD5B09" w:rsidRPr="008D2084" w:rsidRDefault="00FD5B09" w:rsidP="00FD5B09">
            <w:pPr>
              <w:rPr>
                <w:rFonts w:cstheme="minorHAnsi"/>
                <w:b/>
                <w:bCs/>
              </w:rPr>
            </w:pPr>
            <w:r w:rsidRPr="008D2084">
              <w:rPr>
                <w:rFonts w:cstheme="minorHAnsi"/>
                <w:b/>
                <w:bCs/>
              </w:rPr>
              <w:t xml:space="preserve">Målgruppen </w:t>
            </w:r>
          </w:p>
        </w:tc>
        <w:tc>
          <w:tcPr>
            <w:tcW w:w="7506" w:type="dxa"/>
          </w:tcPr>
          <w:p w14:paraId="7FF1FD00" w14:textId="6B0DF8A8" w:rsidR="003C70D6" w:rsidRPr="008D2084" w:rsidRDefault="003C70D6" w:rsidP="00125704">
            <w:pPr>
              <w:spacing w:after="120"/>
              <w:rPr>
                <w:rFonts w:cstheme="minorHAnsi"/>
              </w:rPr>
            </w:pPr>
            <w:r w:rsidRPr="008D2084">
              <w:rPr>
                <w:rFonts w:cstheme="minorHAnsi"/>
              </w:rPr>
              <w:t xml:space="preserve">Den gruppe sygeplejersker, som kommunen beslutter instruksen skal gælde for. </w:t>
            </w:r>
          </w:p>
          <w:p w14:paraId="5F4C14A8" w14:textId="146E464D" w:rsidR="0023262D" w:rsidRPr="008D2084" w:rsidRDefault="003C70D6" w:rsidP="00125704">
            <w:pPr>
              <w:spacing w:after="120"/>
              <w:rPr>
                <w:rFonts w:cstheme="minorHAnsi"/>
              </w:rPr>
            </w:pPr>
            <w:r w:rsidRPr="008D2084">
              <w:rPr>
                <w:rFonts w:cstheme="minorHAnsi"/>
              </w:rPr>
              <w:t>Ledelsen</w:t>
            </w:r>
            <w:r w:rsidR="0096193D" w:rsidRPr="008D2084">
              <w:rPr>
                <w:rFonts w:cstheme="minorHAnsi"/>
              </w:rPr>
              <w:t xml:space="preserve"> i den enkelte kommune</w:t>
            </w:r>
            <w:r w:rsidRPr="008D2084">
              <w:rPr>
                <w:rFonts w:cstheme="minorHAnsi"/>
              </w:rPr>
              <w:t xml:space="preserve"> beslutte</w:t>
            </w:r>
            <w:r w:rsidR="00A344E5" w:rsidRPr="008D2084">
              <w:rPr>
                <w:rFonts w:cstheme="minorHAnsi"/>
              </w:rPr>
              <w:t>r</w:t>
            </w:r>
            <w:r w:rsidR="0096193D" w:rsidRPr="008D2084">
              <w:rPr>
                <w:rFonts w:cstheme="minorHAnsi"/>
              </w:rPr>
              <w:t>,</w:t>
            </w:r>
            <w:r w:rsidRPr="008D2084">
              <w:rPr>
                <w:rFonts w:cstheme="minorHAnsi"/>
              </w:rPr>
              <w:t xml:space="preserve"> om sygeplejersken må delegere til andre faggrupper</w:t>
            </w:r>
            <w:r w:rsidR="0096193D" w:rsidRPr="008D2084">
              <w:rPr>
                <w:rFonts w:cstheme="minorHAnsi"/>
              </w:rPr>
              <w:t>,</w:t>
            </w:r>
            <w:r w:rsidRPr="008D2084">
              <w:rPr>
                <w:rFonts w:cstheme="minorHAnsi"/>
              </w:rPr>
              <w:t xml:space="preserve"> og instruksen dermed </w:t>
            </w:r>
            <w:r w:rsidR="009467E5">
              <w:rPr>
                <w:rFonts w:cstheme="minorHAnsi"/>
              </w:rPr>
              <w:t xml:space="preserve">også </w:t>
            </w:r>
            <w:r w:rsidRPr="008D2084">
              <w:rPr>
                <w:rFonts w:cstheme="minorHAnsi"/>
              </w:rPr>
              <w:t xml:space="preserve">skal gælde for denne gruppe.  </w:t>
            </w:r>
          </w:p>
        </w:tc>
      </w:tr>
      <w:tr w:rsidR="008D2084" w:rsidRPr="008D2084" w14:paraId="12A071A8" w14:textId="77777777" w:rsidTr="00125704">
        <w:tc>
          <w:tcPr>
            <w:tcW w:w="2122" w:type="dxa"/>
          </w:tcPr>
          <w:p w14:paraId="0787517F" w14:textId="77777777" w:rsidR="00FD5B09" w:rsidRPr="008D2084" w:rsidRDefault="00FD5B09" w:rsidP="00FD5B09">
            <w:pPr>
              <w:rPr>
                <w:rFonts w:cstheme="minorHAnsi"/>
                <w:b/>
                <w:bCs/>
              </w:rPr>
            </w:pPr>
            <w:r w:rsidRPr="008D2084">
              <w:rPr>
                <w:rFonts w:cstheme="minorHAnsi"/>
                <w:b/>
                <w:bCs/>
              </w:rPr>
              <w:t>Formål</w:t>
            </w:r>
          </w:p>
        </w:tc>
        <w:tc>
          <w:tcPr>
            <w:tcW w:w="7506" w:type="dxa"/>
          </w:tcPr>
          <w:p w14:paraId="1EB7F78C" w14:textId="56F7A162" w:rsidR="00AF3611" w:rsidRPr="008D2084" w:rsidRDefault="00125704" w:rsidP="00FB0034">
            <w:pPr>
              <w:pStyle w:val="Default"/>
              <w:spacing w:after="200"/>
              <w:ind w:left="57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D208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At s</w:t>
            </w:r>
            <w:r w:rsidR="00FC02F3" w:rsidRPr="008D208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ygeplejerskerne</w:t>
            </w:r>
            <w:r w:rsidRPr="008D208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anlægger</w:t>
            </w:r>
            <w:r w:rsidR="00D23B0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,</w:t>
            </w:r>
            <w:r w:rsidRPr="008D208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proofErr w:type="spellStart"/>
            <w:r w:rsidRPr="00BB67A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genanlægger</w:t>
            </w:r>
            <w:proofErr w:type="spellEnd"/>
            <w:r w:rsidRPr="00BB67A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D23B0B" w:rsidRPr="00BB67A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og seponerer </w:t>
            </w:r>
            <w:r w:rsidRPr="00BB67A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nasalsonder patientsikkert og på korrekt indikation.</w:t>
            </w:r>
            <w:r w:rsidRPr="008D208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</w:p>
        </w:tc>
      </w:tr>
      <w:tr w:rsidR="008D2084" w:rsidRPr="008D2084" w14:paraId="4AC1CC3E" w14:textId="77777777" w:rsidTr="00424769">
        <w:trPr>
          <w:trHeight w:val="589"/>
        </w:trPr>
        <w:tc>
          <w:tcPr>
            <w:tcW w:w="2122" w:type="dxa"/>
          </w:tcPr>
          <w:p w14:paraId="4B27E5CE" w14:textId="5CCA91CE" w:rsidR="009E14E3" w:rsidRPr="008D2084" w:rsidRDefault="009E14E3" w:rsidP="00FD5B09">
            <w:pPr>
              <w:rPr>
                <w:rFonts w:cstheme="minorHAnsi"/>
                <w:b/>
                <w:bCs/>
              </w:rPr>
            </w:pPr>
            <w:r w:rsidRPr="008D2084">
              <w:rPr>
                <w:rFonts w:cstheme="minorHAnsi"/>
                <w:b/>
                <w:bCs/>
              </w:rPr>
              <w:t>Afgrænsning</w:t>
            </w:r>
          </w:p>
        </w:tc>
        <w:tc>
          <w:tcPr>
            <w:tcW w:w="7506" w:type="dxa"/>
          </w:tcPr>
          <w:p w14:paraId="54A7F729" w14:textId="616043D2" w:rsidR="00D3777B" w:rsidRPr="008D2084" w:rsidRDefault="009E14E3" w:rsidP="00424769">
            <w:pPr>
              <w:spacing w:after="200" w:line="300" w:lineRule="atLeast"/>
              <w:ind w:left="57"/>
              <w:rPr>
                <w:rFonts w:cstheme="minorHAnsi"/>
              </w:rPr>
            </w:pPr>
            <w:r w:rsidRPr="008D2084">
              <w:rPr>
                <w:rFonts w:cstheme="minorHAnsi"/>
              </w:rPr>
              <w:t>Instruksen er kun gældende ift. anlæggelse af na</w:t>
            </w:r>
            <w:r w:rsidR="00294EC0" w:rsidRPr="008D2084">
              <w:rPr>
                <w:rFonts w:cstheme="minorHAnsi"/>
              </w:rPr>
              <w:t>sal</w:t>
            </w:r>
            <w:r w:rsidRPr="008D2084">
              <w:rPr>
                <w:rFonts w:cstheme="minorHAnsi"/>
              </w:rPr>
              <w:t>sonde i ventriklen</w:t>
            </w:r>
            <w:r w:rsidR="00424769" w:rsidRPr="008D2084">
              <w:rPr>
                <w:rFonts w:cstheme="minorHAnsi"/>
              </w:rPr>
              <w:t xml:space="preserve"> og duodenum.</w:t>
            </w:r>
          </w:p>
        </w:tc>
      </w:tr>
      <w:tr w:rsidR="008D2084" w:rsidRPr="008D2084" w14:paraId="6E4A7A08" w14:textId="77777777" w:rsidTr="00125704">
        <w:tc>
          <w:tcPr>
            <w:tcW w:w="2122" w:type="dxa"/>
          </w:tcPr>
          <w:p w14:paraId="1072E079" w14:textId="77777777" w:rsidR="007C099E" w:rsidRPr="008D2084" w:rsidRDefault="007C099E" w:rsidP="00FD5B09">
            <w:pPr>
              <w:rPr>
                <w:rFonts w:cstheme="minorHAnsi"/>
                <w:b/>
                <w:bCs/>
              </w:rPr>
            </w:pPr>
            <w:r w:rsidRPr="008D2084">
              <w:rPr>
                <w:rFonts w:cstheme="minorHAnsi"/>
                <w:b/>
                <w:bCs/>
              </w:rPr>
              <w:t>Ansvar</w:t>
            </w:r>
          </w:p>
          <w:p w14:paraId="656373C2" w14:textId="77777777" w:rsidR="004C0F8D" w:rsidRPr="008D2084" w:rsidRDefault="004C0F8D" w:rsidP="00FD5B09">
            <w:pPr>
              <w:rPr>
                <w:rFonts w:cstheme="minorHAnsi"/>
                <w:b/>
                <w:bCs/>
              </w:rPr>
            </w:pPr>
          </w:p>
          <w:p w14:paraId="524266D9" w14:textId="6FB17559" w:rsidR="004C0F8D" w:rsidRPr="008D2084" w:rsidRDefault="004C0F8D" w:rsidP="00FD5B09">
            <w:pPr>
              <w:rPr>
                <w:rFonts w:cstheme="minorHAnsi"/>
                <w:b/>
                <w:bCs/>
              </w:rPr>
            </w:pPr>
          </w:p>
        </w:tc>
        <w:tc>
          <w:tcPr>
            <w:tcW w:w="7506" w:type="dxa"/>
          </w:tcPr>
          <w:p w14:paraId="4A39CEAE" w14:textId="5E99C31D" w:rsidR="00424769" w:rsidRPr="00BB67A8" w:rsidRDefault="00424769" w:rsidP="00424769">
            <w:pPr>
              <w:spacing w:after="200"/>
              <w:ind w:left="57" w:right="57"/>
              <w:rPr>
                <w:rFonts w:cstheme="minorHAnsi"/>
              </w:rPr>
            </w:pPr>
            <w:r w:rsidRPr="008D2084">
              <w:rPr>
                <w:rFonts w:cstheme="minorHAnsi"/>
              </w:rPr>
              <w:t xml:space="preserve">Sygeplejersken kan på eget initiativ og ansvar ordinere og anlægge en nasalsonde samt vurdere, hvornår nasalsonden skal </w:t>
            </w:r>
            <w:proofErr w:type="spellStart"/>
            <w:r w:rsidRPr="008D2084">
              <w:rPr>
                <w:rFonts w:cstheme="minorHAnsi"/>
              </w:rPr>
              <w:t>genanlægges</w:t>
            </w:r>
            <w:proofErr w:type="spellEnd"/>
            <w:r w:rsidR="00D23B0B">
              <w:rPr>
                <w:rFonts w:cstheme="minorHAnsi"/>
              </w:rPr>
              <w:t xml:space="preserve"> eller </w:t>
            </w:r>
            <w:r w:rsidR="00D23B0B" w:rsidRPr="00BB67A8">
              <w:rPr>
                <w:rFonts w:cstheme="minorHAnsi"/>
              </w:rPr>
              <w:t>seponeres</w:t>
            </w:r>
            <w:r w:rsidRPr="00BB67A8">
              <w:rPr>
                <w:rFonts w:cstheme="minorHAnsi"/>
              </w:rPr>
              <w:t>.</w:t>
            </w:r>
          </w:p>
          <w:p w14:paraId="0B5ACD64" w14:textId="40EA097C" w:rsidR="00D23B0B" w:rsidRPr="00D23B0B" w:rsidRDefault="00D23B0B" w:rsidP="00D23B0B">
            <w:pPr>
              <w:spacing w:after="200"/>
              <w:ind w:left="57"/>
              <w:rPr>
                <w:rFonts w:eastAsia="Times New Roman" w:cstheme="minorHAnsi"/>
              </w:rPr>
            </w:pPr>
            <w:r w:rsidRPr="00BB67A8">
              <w:rPr>
                <w:rFonts w:eastAsia="Times New Roman" w:cstheme="minorHAnsi"/>
              </w:rPr>
              <w:t xml:space="preserve">Det er ledelsens ansvar at organiserer arbejdspladsen på en måde, at sygeplejerskerne er i stand til at anlægge, </w:t>
            </w:r>
            <w:proofErr w:type="spellStart"/>
            <w:r w:rsidRPr="00BB67A8">
              <w:rPr>
                <w:rFonts w:eastAsia="Times New Roman" w:cstheme="minorHAnsi"/>
              </w:rPr>
              <w:t>genanlægge</w:t>
            </w:r>
            <w:proofErr w:type="spellEnd"/>
            <w:r w:rsidRPr="00BB67A8">
              <w:rPr>
                <w:rFonts w:eastAsia="Times New Roman" w:cstheme="minorHAnsi"/>
              </w:rPr>
              <w:t xml:space="preserve"> eller seponere </w:t>
            </w:r>
            <w:proofErr w:type="spellStart"/>
            <w:r w:rsidRPr="00BB67A8">
              <w:rPr>
                <w:rFonts w:eastAsia="Times New Roman" w:cstheme="minorHAnsi"/>
              </w:rPr>
              <w:t>uretralkateter</w:t>
            </w:r>
            <w:proofErr w:type="spellEnd"/>
            <w:r w:rsidRPr="00BB67A8">
              <w:rPr>
                <w:rFonts w:eastAsia="Times New Roman" w:cstheme="minorHAnsi"/>
              </w:rPr>
              <w:t xml:space="preserve"> fagligt forsvarligt og patientsikkert.</w:t>
            </w:r>
          </w:p>
          <w:p w14:paraId="08CE5689" w14:textId="77777777" w:rsidR="009E14E3" w:rsidRPr="008D2084" w:rsidRDefault="009E14E3" w:rsidP="00FB0034">
            <w:pPr>
              <w:spacing w:after="200"/>
              <w:ind w:left="57"/>
              <w:rPr>
                <w:rFonts w:eastAsia="Times New Roman" w:cstheme="minorHAnsi"/>
                <w:lang w:eastAsia="da-DK"/>
              </w:rPr>
            </w:pPr>
            <w:r w:rsidRPr="008D2084">
              <w:rPr>
                <w:rFonts w:eastAsia="Times New Roman" w:cstheme="minorHAnsi"/>
                <w:lang w:eastAsia="da-DK"/>
              </w:rPr>
              <w:t>Her kan angives om opgaven kan delegeres til en anden faggruppe.</w:t>
            </w:r>
          </w:p>
          <w:p w14:paraId="11B9A11D" w14:textId="77777777" w:rsidR="00424769" w:rsidRPr="008D2084" w:rsidRDefault="00424769" w:rsidP="00424769">
            <w:pPr>
              <w:ind w:left="57" w:right="57"/>
              <w:rPr>
                <w:rFonts w:cstheme="minorHAnsi"/>
              </w:rPr>
            </w:pPr>
            <w:r w:rsidRPr="008D2084">
              <w:rPr>
                <w:rFonts w:cstheme="minorHAnsi"/>
              </w:rPr>
              <w:t>Sygeplejersken er i henhold til autorisationslovens § 17 forpligtet til at udvise omhu og samvittighedsfuldhed ved udøvelse af deres virksomhed.</w:t>
            </w:r>
          </w:p>
          <w:p w14:paraId="196686FE" w14:textId="77777777" w:rsidR="00424769" w:rsidRPr="008D2084" w:rsidRDefault="00424769" w:rsidP="00424769">
            <w:pPr>
              <w:ind w:left="57" w:right="57"/>
              <w:rPr>
                <w:rFonts w:cstheme="minorHAnsi"/>
              </w:rPr>
            </w:pPr>
            <w:r w:rsidRPr="008D2084">
              <w:rPr>
                <w:rFonts w:cstheme="minorHAnsi"/>
              </w:rPr>
              <w:t xml:space="preserve">Ved udøvelsen af det forbeholdte virksomhedsområde er det afgørende, at sygeplejersken har de nødvendige faglige kvalifikationer til at vurdere indikationer/kontraindikationer og til at identificere samt håndtere eventuelle komplikationer. </w:t>
            </w:r>
          </w:p>
          <w:p w14:paraId="01757296" w14:textId="5AABCE70" w:rsidR="00424769" w:rsidRPr="008D2084" w:rsidRDefault="00424769" w:rsidP="00424769">
            <w:pPr>
              <w:spacing w:after="200"/>
              <w:ind w:left="57" w:right="57"/>
              <w:rPr>
                <w:rFonts w:eastAsia="Times New Roman" w:cstheme="minorHAnsi"/>
              </w:rPr>
            </w:pPr>
            <w:r w:rsidRPr="008D2084">
              <w:rPr>
                <w:rFonts w:cstheme="minorHAnsi"/>
              </w:rPr>
              <w:t xml:space="preserve">Pligten til at udvise omhu og samvittighedsfuldhed indebærer desuden, at sygeplejersker ikke må påtage sig opgaver, som de ikke er i stand til at udføre forsvarligt. En sygeplejerske har således pligt til at </w:t>
            </w:r>
            <w:proofErr w:type="gramStart"/>
            <w:r w:rsidRPr="008D2084">
              <w:rPr>
                <w:rFonts w:cstheme="minorHAnsi"/>
              </w:rPr>
              <w:t>afvise</w:t>
            </w:r>
            <w:proofErr w:type="gramEnd"/>
            <w:r w:rsidRPr="008D2084">
              <w:rPr>
                <w:rFonts w:cstheme="minorHAnsi"/>
              </w:rPr>
              <w:t xml:space="preserve"> at udføre en behandling, hvis behandlingen ikke er patientsikkerhedsmæssig forsvarlig.</w:t>
            </w:r>
          </w:p>
          <w:p w14:paraId="22C46A8E" w14:textId="77777777" w:rsidR="00D23B0B" w:rsidRPr="00BB67A8" w:rsidRDefault="00D23B0B" w:rsidP="00D23B0B">
            <w:pPr>
              <w:ind w:left="57"/>
              <w:rPr>
                <w:rFonts w:eastAsia="Times New Roman" w:cstheme="minorHAnsi"/>
              </w:rPr>
            </w:pPr>
            <w:r w:rsidRPr="00BB67A8">
              <w:rPr>
                <w:rFonts w:eastAsia="Times New Roman" w:cstheme="minorHAnsi"/>
              </w:rPr>
              <w:t xml:space="preserve">Det vil fortsat være borgerens egen læge eller behandlende læge, som har det overordnede behandlingsansvar og lægger behandlingsplaner for borgerne. </w:t>
            </w:r>
          </w:p>
          <w:p w14:paraId="58707BCE" w14:textId="6438963C" w:rsidR="00577D5B" w:rsidRPr="008D2084" w:rsidRDefault="00D23B0B" w:rsidP="00D23B0B">
            <w:pPr>
              <w:spacing w:after="200"/>
              <w:ind w:left="57"/>
              <w:rPr>
                <w:rFonts w:cstheme="minorHAnsi"/>
              </w:rPr>
            </w:pPr>
            <w:r w:rsidRPr="00BB67A8">
              <w:rPr>
                <w:rFonts w:eastAsia="Times New Roman" w:cstheme="minorHAnsi"/>
                <w:lang w:eastAsia="da-DK"/>
              </w:rPr>
              <w:t>Borgerens egen læge eller behandlende læge skal orienteres i relevant omfang. For yderligere detaljer se nærmere under afsnit om ”Orientering af borgerens egen eller behandlende læge”.</w:t>
            </w:r>
          </w:p>
        </w:tc>
      </w:tr>
      <w:tr w:rsidR="008D2084" w:rsidRPr="008D2084" w14:paraId="3D809D8B" w14:textId="77777777" w:rsidTr="00125704">
        <w:tc>
          <w:tcPr>
            <w:tcW w:w="2122" w:type="dxa"/>
          </w:tcPr>
          <w:p w14:paraId="19BA18AF" w14:textId="156A6FF8" w:rsidR="00DB2C60" w:rsidRPr="008D2084" w:rsidRDefault="00DB2C60" w:rsidP="00DB2C60">
            <w:pPr>
              <w:rPr>
                <w:rFonts w:cstheme="minorHAnsi"/>
                <w:b/>
                <w:bCs/>
              </w:rPr>
            </w:pPr>
            <w:r w:rsidRPr="008D2084">
              <w:rPr>
                <w:rFonts w:cstheme="minorHAnsi"/>
                <w:b/>
                <w:bCs/>
              </w:rPr>
              <w:t>Samtykke og information</w:t>
            </w:r>
          </w:p>
        </w:tc>
        <w:tc>
          <w:tcPr>
            <w:tcW w:w="7506" w:type="dxa"/>
          </w:tcPr>
          <w:p w14:paraId="494AC39D" w14:textId="77777777" w:rsidR="00125704" w:rsidRPr="008D2084" w:rsidRDefault="00125704" w:rsidP="00FB0034">
            <w:pPr>
              <w:pStyle w:val="Default"/>
              <w:spacing w:after="200"/>
              <w:ind w:left="57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D208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Sygeplejersken skal før anlæggelse/genanlæggelse informere borgeren og indhente samtykke. </w:t>
            </w:r>
          </w:p>
          <w:p w14:paraId="1351A055" w14:textId="4F0C8079" w:rsidR="00DB2C60" w:rsidRPr="008D2084" w:rsidRDefault="00125704" w:rsidP="00FB0034">
            <w:pPr>
              <w:pStyle w:val="Default"/>
              <w:spacing w:after="200"/>
              <w:ind w:left="57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8D2084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Er borgeren ikke habil, skal der indhentes informeret samtykke hos den, som varetager borgerens helbredsmæssige interesser.</w:t>
            </w:r>
          </w:p>
        </w:tc>
      </w:tr>
      <w:tr w:rsidR="008D2084" w:rsidRPr="008D2084" w14:paraId="3029D0B1" w14:textId="77777777" w:rsidTr="00125704">
        <w:tc>
          <w:tcPr>
            <w:tcW w:w="2122" w:type="dxa"/>
          </w:tcPr>
          <w:p w14:paraId="61B2A620" w14:textId="77777777" w:rsidR="00DB2C60" w:rsidRPr="008D2084" w:rsidRDefault="00DB2C60" w:rsidP="00DB2C60">
            <w:pPr>
              <w:rPr>
                <w:rFonts w:cstheme="minorHAnsi"/>
                <w:b/>
                <w:bCs/>
              </w:rPr>
            </w:pPr>
            <w:r w:rsidRPr="008D2084">
              <w:rPr>
                <w:rFonts w:cstheme="minorHAnsi"/>
                <w:b/>
                <w:bCs/>
              </w:rPr>
              <w:lastRenderedPageBreak/>
              <w:t xml:space="preserve">Indikation og </w:t>
            </w:r>
          </w:p>
          <w:p w14:paraId="1D9C0E71" w14:textId="77777777" w:rsidR="00DB2C60" w:rsidRPr="008D2084" w:rsidRDefault="00DB2C60" w:rsidP="00DB2C60">
            <w:pPr>
              <w:rPr>
                <w:rFonts w:cstheme="minorHAnsi"/>
                <w:b/>
                <w:bCs/>
              </w:rPr>
            </w:pPr>
            <w:r w:rsidRPr="008D2084">
              <w:rPr>
                <w:rFonts w:cstheme="minorHAnsi"/>
                <w:b/>
                <w:bCs/>
              </w:rPr>
              <w:t>anvendelsesområde</w:t>
            </w:r>
          </w:p>
        </w:tc>
        <w:tc>
          <w:tcPr>
            <w:tcW w:w="7506" w:type="dxa"/>
          </w:tcPr>
          <w:p w14:paraId="6D2C486E" w14:textId="5BAE3F62" w:rsidR="00DB2C60" w:rsidRPr="008D2084" w:rsidRDefault="009A6D88" w:rsidP="00FB0034">
            <w:pPr>
              <w:ind w:left="57"/>
              <w:rPr>
                <w:rFonts w:cstheme="minorHAnsi"/>
              </w:rPr>
            </w:pPr>
            <w:r w:rsidRPr="008D2084">
              <w:rPr>
                <w:rFonts w:cstheme="minorHAnsi"/>
              </w:rPr>
              <w:t xml:space="preserve">Sygeplejersken kan </w:t>
            </w:r>
            <w:r w:rsidR="00294EC0" w:rsidRPr="008D2084">
              <w:rPr>
                <w:rFonts w:cstheme="minorHAnsi"/>
              </w:rPr>
              <w:t>anlægge</w:t>
            </w:r>
            <w:r w:rsidRPr="008D2084">
              <w:rPr>
                <w:rFonts w:cstheme="minorHAnsi"/>
              </w:rPr>
              <w:t xml:space="preserve"> nasalsonde i </w:t>
            </w:r>
            <w:r w:rsidR="00C86657" w:rsidRPr="008D2084">
              <w:rPr>
                <w:rFonts w:cstheme="minorHAnsi"/>
              </w:rPr>
              <w:t>følgende situationer:</w:t>
            </w:r>
          </w:p>
          <w:p w14:paraId="453254F4" w14:textId="4CD9F174" w:rsidR="001B0F08" w:rsidRPr="008D2084" w:rsidRDefault="00424769" w:rsidP="00424769">
            <w:pPr>
              <w:pStyle w:val="Listeafsnit"/>
              <w:numPr>
                <w:ilvl w:val="0"/>
                <w:numId w:val="21"/>
              </w:numPr>
              <w:spacing w:after="120" w:line="259" w:lineRule="auto"/>
              <w:rPr>
                <w:rFonts w:cstheme="minorHAnsi"/>
              </w:rPr>
            </w:pPr>
            <w:r w:rsidRPr="008D2084">
              <w:rPr>
                <w:rFonts w:cstheme="minorHAnsi"/>
              </w:rPr>
              <w:t>Hvis der vurderes, at borgeren er dehydreret, og har behov for væskebehandling</w:t>
            </w:r>
            <w:r w:rsidRPr="008D2084">
              <w:rPr>
                <w:rStyle w:val="Fodnotehenvisning"/>
                <w:rFonts w:cstheme="minorHAnsi"/>
              </w:rPr>
              <w:footnoteReference w:id="1"/>
            </w:r>
          </w:p>
          <w:p w14:paraId="4AAC5F76" w14:textId="77777777" w:rsidR="00FC02F3" w:rsidRPr="008D2084" w:rsidRDefault="00FC02F3" w:rsidP="00FC02F3">
            <w:pPr>
              <w:pStyle w:val="Listeafsnit"/>
              <w:rPr>
                <w:rFonts w:cstheme="minorHAnsi"/>
              </w:rPr>
            </w:pPr>
          </w:p>
          <w:p w14:paraId="414DB769" w14:textId="682D231C" w:rsidR="00FC02F3" w:rsidRPr="008D2084" w:rsidRDefault="00FC02F3" w:rsidP="00FC02F3">
            <w:pPr>
              <w:ind w:left="57"/>
              <w:rPr>
                <w:rFonts w:cstheme="minorHAnsi"/>
              </w:rPr>
            </w:pPr>
            <w:r w:rsidRPr="008D2084">
              <w:rPr>
                <w:rFonts w:cstheme="minorHAnsi"/>
              </w:rPr>
              <w:t xml:space="preserve">Sygeplejersken kan </w:t>
            </w:r>
            <w:proofErr w:type="spellStart"/>
            <w:r w:rsidRPr="008D2084">
              <w:rPr>
                <w:rFonts w:cstheme="minorHAnsi"/>
              </w:rPr>
              <w:t>genanlægge</w:t>
            </w:r>
            <w:proofErr w:type="spellEnd"/>
            <w:r w:rsidRPr="008D2084">
              <w:rPr>
                <w:rFonts w:cstheme="minorHAnsi"/>
              </w:rPr>
              <w:t xml:space="preserve"> nasalsonde i følgende situationer:</w:t>
            </w:r>
          </w:p>
          <w:p w14:paraId="122730FE" w14:textId="551A7656" w:rsidR="00E340C3" w:rsidRPr="008D2084" w:rsidRDefault="003626A8" w:rsidP="00424769">
            <w:pPr>
              <w:pStyle w:val="NormalWeb"/>
              <w:numPr>
                <w:ilvl w:val="0"/>
                <w:numId w:val="2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8D2084">
              <w:rPr>
                <w:rFonts w:asciiTheme="minorHAnsi" w:hAnsiTheme="minorHAnsi" w:cstheme="minorHAnsi"/>
                <w:sz w:val="22"/>
                <w:szCs w:val="22"/>
              </w:rPr>
              <w:t>Ved u</w:t>
            </w:r>
            <w:r w:rsidR="004965C4" w:rsidRPr="008D2084">
              <w:rPr>
                <w:rFonts w:asciiTheme="minorHAnsi" w:hAnsiTheme="minorHAnsi" w:cstheme="minorHAnsi"/>
                <w:sz w:val="22"/>
                <w:szCs w:val="22"/>
              </w:rPr>
              <w:t xml:space="preserve">tilsigtet </w:t>
            </w:r>
            <w:proofErr w:type="spellStart"/>
            <w:r w:rsidR="004965C4" w:rsidRPr="008D2084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8D2084">
              <w:rPr>
                <w:rFonts w:asciiTheme="minorHAnsi" w:hAnsiTheme="minorHAnsi" w:cstheme="minorHAnsi"/>
                <w:sz w:val="22"/>
                <w:szCs w:val="22"/>
              </w:rPr>
              <w:t>eponering</w:t>
            </w:r>
            <w:proofErr w:type="spellEnd"/>
            <w:r w:rsidRPr="008D2084">
              <w:rPr>
                <w:rFonts w:asciiTheme="minorHAnsi" w:hAnsiTheme="minorHAnsi" w:cstheme="minorHAnsi"/>
                <w:sz w:val="22"/>
                <w:szCs w:val="22"/>
              </w:rPr>
              <w:t xml:space="preserve"> af nasalsonde</w:t>
            </w:r>
            <w:r w:rsidR="001B0F08" w:rsidRPr="008D2084">
              <w:rPr>
                <w:rFonts w:asciiTheme="minorHAnsi" w:hAnsiTheme="minorHAnsi" w:cstheme="minorHAnsi"/>
                <w:sz w:val="22"/>
                <w:szCs w:val="22"/>
              </w:rPr>
              <w:t>, hvor sygeplejersken vurderer, at der fortsat er indikation</w:t>
            </w:r>
          </w:p>
          <w:p w14:paraId="4C976577" w14:textId="6CE547AE" w:rsidR="00125704" w:rsidRPr="008D2084" w:rsidRDefault="00294EC0" w:rsidP="00424769">
            <w:pPr>
              <w:pStyle w:val="NormalWeb"/>
              <w:numPr>
                <w:ilvl w:val="0"/>
                <w:numId w:val="2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8D2084">
              <w:rPr>
                <w:rFonts w:asciiTheme="minorHAnsi" w:hAnsiTheme="minorHAnsi" w:cstheme="minorHAnsi"/>
                <w:sz w:val="22"/>
                <w:szCs w:val="22"/>
              </w:rPr>
              <w:t>Hvis</w:t>
            </w:r>
            <w:r w:rsidR="003626A8" w:rsidRPr="008D2084">
              <w:rPr>
                <w:rFonts w:asciiTheme="minorHAnsi" w:hAnsiTheme="minorHAnsi" w:cstheme="minorHAnsi"/>
                <w:sz w:val="22"/>
                <w:szCs w:val="22"/>
              </w:rPr>
              <w:t xml:space="preserve"> nasalsonden er til gene for borgeren</w:t>
            </w:r>
            <w:r w:rsidR="00C86657" w:rsidRPr="008D2084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3626A8" w:rsidRPr="008D2084">
              <w:rPr>
                <w:rFonts w:asciiTheme="minorHAnsi" w:hAnsiTheme="minorHAnsi" w:cstheme="minorHAnsi"/>
                <w:sz w:val="22"/>
                <w:szCs w:val="22"/>
              </w:rPr>
              <w:t xml:space="preserve"> og </w:t>
            </w:r>
            <w:r w:rsidR="00C438D7" w:rsidRPr="008D2084">
              <w:rPr>
                <w:rFonts w:asciiTheme="minorHAnsi" w:hAnsiTheme="minorHAnsi" w:cstheme="minorHAnsi"/>
                <w:sz w:val="22"/>
                <w:szCs w:val="22"/>
              </w:rPr>
              <w:t>sygeplejersken</w:t>
            </w:r>
            <w:r w:rsidR="003626A8" w:rsidRPr="008D2084">
              <w:rPr>
                <w:rFonts w:asciiTheme="minorHAnsi" w:hAnsiTheme="minorHAnsi" w:cstheme="minorHAnsi"/>
                <w:sz w:val="22"/>
                <w:szCs w:val="22"/>
              </w:rPr>
              <w:t xml:space="preserve"> vurdere</w:t>
            </w:r>
            <w:r w:rsidR="00C438D7" w:rsidRPr="008D2084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="00C86657" w:rsidRPr="008D2084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3626A8" w:rsidRPr="008D2084">
              <w:rPr>
                <w:rFonts w:asciiTheme="minorHAnsi" w:hAnsiTheme="minorHAnsi" w:cstheme="minorHAnsi"/>
                <w:sz w:val="22"/>
                <w:szCs w:val="22"/>
              </w:rPr>
              <w:t xml:space="preserve"> at en genanlæggelse kan afhjælpe </w:t>
            </w:r>
            <w:r w:rsidR="00C86657" w:rsidRPr="008D2084">
              <w:rPr>
                <w:rFonts w:asciiTheme="minorHAnsi" w:hAnsiTheme="minorHAnsi" w:cstheme="minorHAnsi"/>
                <w:sz w:val="22"/>
                <w:szCs w:val="22"/>
              </w:rPr>
              <w:t>dette</w:t>
            </w:r>
          </w:p>
          <w:p w14:paraId="031E8C38" w14:textId="77777777" w:rsidR="00125704" w:rsidRPr="008D2084" w:rsidRDefault="003626A8" w:rsidP="00424769">
            <w:pPr>
              <w:pStyle w:val="NormalWeb"/>
              <w:numPr>
                <w:ilvl w:val="0"/>
                <w:numId w:val="21"/>
              </w:numPr>
              <w:rPr>
                <w:rFonts w:cstheme="minorHAnsi"/>
              </w:rPr>
            </w:pPr>
            <w:r w:rsidRPr="008D2084">
              <w:rPr>
                <w:rFonts w:asciiTheme="minorHAnsi" w:hAnsiTheme="minorHAnsi" w:cstheme="minorHAnsi"/>
                <w:sz w:val="22"/>
                <w:szCs w:val="22"/>
              </w:rPr>
              <w:t>Når nasalsonden stopper til og ikke kan anvendes, hvor alle muligheder for at etablere</w:t>
            </w:r>
            <w:r w:rsidR="00125704" w:rsidRPr="008D2084">
              <w:rPr>
                <w:rFonts w:cstheme="minorHAnsi"/>
              </w:rPr>
              <w:t xml:space="preserve"> </w:t>
            </w:r>
            <w:r w:rsidR="00125704" w:rsidRPr="008D2084">
              <w:rPr>
                <w:rFonts w:asciiTheme="minorHAnsi" w:hAnsiTheme="minorHAnsi" w:cstheme="minorHAnsi"/>
                <w:sz w:val="22"/>
                <w:szCs w:val="22"/>
              </w:rPr>
              <w:t>gennemstrømning er afprøvet</w:t>
            </w:r>
            <w:r w:rsidR="00125704" w:rsidRPr="008D2084" w:rsidDel="0012570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5093C7BB" w14:textId="77777777" w:rsidR="00125704" w:rsidRDefault="00125704" w:rsidP="00424769">
            <w:pPr>
              <w:pStyle w:val="NormalWeb"/>
              <w:numPr>
                <w:ilvl w:val="0"/>
                <w:numId w:val="21"/>
              </w:numPr>
              <w:spacing w:after="200"/>
              <w:rPr>
                <w:rFonts w:asciiTheme="minorHAnsi" w:hAnsiTheme="minorHAnsi" w:cstheme="minorHAnsi"/>
                <w:sz w:val="22"/>
                <w:szCs w:val="22"/>
              </w:rPr>
            </w:pPr>
            <w:r w:rsidRPr="008D2084">
              <w:rPr>
                <w:rFonts w:asciiTheme="minorHAnsi" w:hAnsiTheme="minorHAnsi" w:cstheme="minorHAnsi"/>
                <w:sz w:val="22"/>
                <w:szCs w:val="22"/>
              </w:rPr>
              <w:t>Hvis slangen på nasalsonden er beskadiget</w:t>
            </w:r>
          </w:p>
          <w:p w14:paraId="25463E30" w14:textId="77777777" w:rsidR="00D23B0B" w:rsidRPr="00BB67A8" w:rsidRDefault="00D23B0B" w:rsidP="00D23B0B">
            <w:pPr>
              <w:pStyle w:val="NormalWeb"/>
              <w:spacing w:after="200"/>
              <w:rPr>
                <w:rFonts w:asciiTheme="minorHAnsi" w:hAnsiTheme="minorHAnsi" w:cstheme="minorHAnsi"/>
                <w:sz w:val="22"/>
                <w:szCs w:val="22"/>
              </w:rPr>
            </w:pPr>
            <w:r w:rsidRPr="00BB67A8">
              <w:rPr>
                <w:rFonts w:asciiTheme="minorHAnsi" w:hAnsiTheme="minorHAnsi" w:cstheme="minorHAnsi"/>
                <w:sz w:val="22"/>
                <w:szCs w:val="22"/>
              </w:rPr>
              <w:t>Sygeplejersken kan seponere nasalsonde i følgende situationer:</w:t>
            </w:r>
          </w:p>
          <w:p w14:paraId="22D3BDEC" w14:textId="394CDCC6" w:rsidR="00D23B0B" w:rsidRPr="00D23B0B" w:rsidRDefault="00D23B0B" w:rsidP="00BB67A8">
            <w:pPr>
              <w:pStyle w:val="NormalWeb"/>
              <w:spacing w:after="200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BB67A8">
              <w:rPr>
                <w:rFonts w:asciiTheme="minorHAnsi" w:hAnsiTheme="minorHAnsi" w:cstheme="minorHAnsi"/>
                <w:sz w:val="22"/>
                <w:szCs w:val="22"/>
              </w:rPr>
              <w:t xml:space="preserve">Afslutning af </w:t>
            </w:r>
            <w:proofErr w:type="spellStart"/>
            <w:r w:rsidRPr="00BB67A8">
              <w:rPr>
                <w:rFonts w:asciiTheme="minorHAnsi" w:hAnsiTheme="minorHAnsi" w:cstheme="minorHAnsi"/>
                <w:sz w:val="22"/>
                <w:szCs w:val="22"/>
              </w:rPr>
              <w:t>enteral</w:t>
            </w:r>
            <w:proofErr w:type="spellEnd"/>
            <w:r w:rsidRPr="00BB67A8">
              <w:rPr>
                <w:rFonts w:asciiTheme="minorHAnsi" w:hAnsiTheme="minorHAnsi" w:cstheme="minorHAnsi"/>
                <w:sz w:val="22"/>
                <w:szCs w:val="22"/>
              </w:rPr>
              <w:t xml:space="preserve"> ernæring og administrering af lægemidler via </w:t>
            </w:r>
            <w:proofErr w:type="spellStart"/>
            <w:r w:rsidRPr="00BB67A8">
              <w:rPr>
                <w:rFonts w:asciiTheme="minorHAnsi" w:hAnsiTheme="minorHAnsi" w:cstheme="minorHAnsi"/>
                <w:sz w:val="22"/>
                <w:szCs w:val="22"/>
              </w:rPr>
              <w:t>nasogastrisk</w:t>
            </w:r>
            <w:proofErr w:type="spellEnd"/>
            <w:r w:rsidRPr="00BB67A8">
              <w:rPr>
                <w:rFonts w:asciiTheme="minorHAnsi" w:hAnsiTheme="minorHAnsi" w:cstheme="minorHAnsi"/>
                <w:sz w:val="22"/>
                <w:szCs w:val="22"/>
              </w:rPr>
              <w:t xml:space="preserve"> sonde</w:t>
            </w:r>
          </w:p>
        </w:tc>
      </w:tr>
      <w:tr w:rsidR="008D2084" w:rsidRPr="008D2084" w14:paraId="05EFA123" w14:textId="77777777" w:rsidTr="00125704">
        <w:tc>
          <w:tcPr>
            <w:tcW w:w="2122" w:type="dxa"/>
          </w:tcPr>
          <w:p w14:paraId="5B2CB945" w14:textId="502FCB2E" w:rsidR="00DB2C60" w:rsidRPr="008D2084" w:rsidRDefault="00DB2C60" w:rsidP="00DB2C60">
            <w:pPr>
              <w:rPr>
                <w:rFonts w:cstheme="minorHAnsi"/>
                <w:b/>
                <w:bCs/>
              </w:rPr>
            </w:pPr>
            <w:r w:rsidRPr="008D2084">
              <w:rPr>
                <w:rFonts w:cstheme="minorHAnsi"/>
                <w:b/>
                <w:bCs/>
              </w:rPr>
              <w:t>Kontraindikation</w:t>
            </w:r>
          </w:p>
        </w:tc>
        <w:tc>
          <w:tcPr>
            <w:tcW w:w="7506" w:type="dxa"/>
          </w:tcPr>
          <w:p w14:paraId="53B11663" w14:textId="6B4A920E" w:rsidR="00044840" w:rsidRPr="008D2084" w:rsidRDefault="00044840" w:rsidP="00FB0034">
            <w:pPr>
              <w:ind w:left="57"/>
            </w:pPr>
            <w:r w:rsidRPr="008D2084">
              <w:t xml:space="preserve">Sygeplejersken skal </w:t>
            </w:r>
            <w:r w:rsidR="00CF75F3" w:rsidRPr="008D2084">
              <w:t>være særlig</w:t>
            </w:r>
            <w:r w:rsidR="00C86657" w:rsidRPr="008D2084">
              <w:t>t</w:t>
            </w:r>
            <w:r w:rsidR="00CF75F3" w:rsidRPr="008D2084">
              <w:t xml:space="preserve"> varsom i tilfælde af</w:t>
            </w:r>
            <w:r w:rsidRPr="008D2084">
              <w:t>:</w:t>
            </w:r>
          </w:p>
          <w:p w14:paraId="52813A6D" w14:textId="264E7D17" w:rsidR="00BE40D5" w:rsidRPr="008D2084" w:rsidRDefault="00CB0207" w:rsidP="00FB0034">
            <w:pPr>
              <w:pStyle w:val="Listeafsnit"/>
              <w:numPr>
                <w:ilvl w:val="0"/>
                <w:numId w:val="22"/>
              </w:numPr>
              <w:spacing w:line="300" w:lineRule="atLeast"/>
              <w:rPr>
                <w:rFonts w:cstheme="minorHAnsi"/>
              </w:rPr>
            </w:pPr>
            <w:r w:rsidRPr="008D2084">
              <w:rPr>
                <w:rFonts w:cstheme="minorHAnsi"/>
              </w:rPr>
              <w:t xml:space="preserve">Ved mistanke om </w:t>
            </w:r>
            <w:proofErr w:type="spellStart"/>
            <w:r w:rsidRPr="008D2084">
              <w:rPr>
                <w:rFonts w:cstheme="minorHAnsi"/>
              </w:rPr>
              <w:t>melæna</w:t>
            </w:r>
            <w:proofErr w:type="spellEnd"/>
            <w:r w:rsidRPr="008D2084">
              <w:rPr>
                <w:rFonts w:cstheme="minorHAnsi"/>
              </w:rPr>
              <w:t xml:space="preserve"> eller </w:t>
            </w:r>
            <w:proofErr w:type="spellStart"/>
            <w:r w:rsidRPr="008D2084">
              <w:rPr>
                <w:rFonts w:cstheme="minorHAnsi"/>
              </w:rPr>
              <w:t>hæmatemese</w:t>
            </w:r>
            <w:proofErr w:type="spellEnd"/>
          </w:p>
          <w:p w14:paraId="6F3C867A" w14:textId="68B9A713" w:rsidR="00BE40D5" w:rsidRPr="008D2084" w:rsidRDefault="00CF75F3" w:rsidP="00FB0034">
            <w:pPr>
              <w:pStyle w:val="Listeafsnit"/>
              <w:numPr>
                <w:ilvl w:val="0"/>
                <w:numId w:val="22"/>
              </w:numPr>
              <w:spacing w:line="300" w:lineRule="atLeast"/>
              <w:rPr>
                <w:rFonts w:cstheme="minorHAnsi"/>
              </w:rPr>
            </w:pPr>
            <w:r w:rsidRPr="008D2084">
              <w:rPr>
                <w:rFonts w:cstheme="minorHAnsi"/>
              </w:rPr>
              <w:t>Tydelig hindring/modstand i forbindelse med anlæggelsen</w:t>
            </w:r>
          </w:p>
          <w:p w14:paraId="51E72BDD" w14:textId="7E8A009B" w:rsidR="00BE40D5" w:rsidRPr="008D2084" w:rsidRDefault="00BE40D5" w:rsidP="00FB0034">
            <w:pPr>
              <w:pStyle w:val="Listeafsnit"/>
              <w:numPr>
                <w:ilvl w:val="0"/>
                <w:numId w:val="22"/>
              </w:numPr>
              <w:spacing w:line="300" w:lineRule="atLeast"/>
              <w:rPr>
                <w:rFonts w:cstheme="minorHAnsi"/>
              </w:rPr>
            </w:pPr>
            <w:r w:rsidRPr="008D2084">
              <w:rPr>
                <w:rFonts w:cstheme="minorHAnsi"/>
              </w:rPr>
              <w:t>K</w:t>
            </w:r>
            <w:r w:rsidR="00CF75F3" w:rsidRPr="008D2084">
              <w:rPr>
                <w:rFonts w:cstheme="minorHAnsi"/>
              </w:rPr>
              <w:t xml:space="preserve">endt eller ved mistanke om ansigtsfraktur </w:t>
            </w:r>
          </w:p>
          <w:p w14:paraId="2181788D" w14:textId="77C6E91D" w:rsidR="00BE40D5" w:rsidRPr="008D2084" w:rsidRDefault="00BE40D5" w:rsidP="00FB0034">
            <w:pPr>
              <w:pStyle w:val="Listeafsnit"/>
              <w:numPr>
                <w:ilvl w:val="0"/>
                <w:numId w:val="22"/>
              </w:numPr>
              <w:spacing w:line="300" w:lineRule="atLeast"/>
              <w:rPr>
                <w:rFonts w:cstheme="minorHAnsi"/>
              </w:rPr>
            </w:pPr>
            <w:r w:rsidRPr="008D2084">
              <w:rPr>
                <w:rFonts w:cstheme="minorHAnsi"/>
              </w:rPr>
              <w:t>B</w:t>
            </w:r>
            <w:r w:rsidR="00CF75F3" w:rsidRPr="008D2084">
              <w:rPr>
                <w:rFonts w:cstheme="minorHAnsi"/>
              </w:rPr>
              <w:t xml:space="preserve">orger </w:t>
            </w:r>
            <w:r w:rsidR="001543B2" w:rsidRPr="008D2084">
              <w:rPr>
                <w:rFonts w:cstheme="minorHAnsi"/>
              </w:rPr>
              <w:t>gentagne gange over kort tid seponerer sonden</w:t>
            </w:r>
            <w:r w:rsidR="00044840" w:rsidRPr="008D2084">
              <w:rPr>
                <w:rFonts w:cstheme="minorHAnsi"/>
              </w:rPr>
              <w:t>, og der er behov for en revurdering af behandlingsplanen</w:t>
            </w:r>
          </w:p>
          <w:p w14:paraId="73FF3177" w14:textId="24906F9D" w:rsidR="00BE40D5" w:rsidRPr="008D2084" w:rsidRDefault="00BE40D5" w:rsidP="00FB0034">
            <w:pPr>
              <w:pStyle w:val="Listeafsnit"/>
              <w:numPr>
                <w:ilvl w:val="0"/>
                <w:numId w:val="22"/>
              </w:numPr>
              <w:spacing w:line="300" w:lineRule="atLeast"/>
              <w:rPr>
                <w:rFonts w:cstheme="minorHAnsi"/>
              </w:rPr>
            </w:pPr>
            <w:r w:rsidRPr="008D2084">
              <w:rPr>
                <w:rFonts w:cstheme="minorHAnsi"/>
              </w:rPr>
              <w:t>B</w:t>
            </w:r>
            <w:r w:rsidR="00044840" w:rsidRPr="008D2084">
              <w:rPr>
                <w:rFonts w:cstheme="minorHAnsi"/>
              </w:rPr>
              <w:t xml:space="preserve">orger er </w:t>
            </w:r>
            <w:proofErr w:type="spellStart"/>
            <w:r w:rsidR="00044840" w:rsidRPr="008D2084">
              <w:rPr>
                <w:rFonts w:cstheme="minorHAnsi"/>
              </w:rPr>
              <w:t>somnolent</w:t>
            </w:r>
            <w:proofErr w:type="spellEnd"/>
            <w:r w:rsidR="00044840" w:rsidRPr="008D2084">
              <w:rPr>
                <w:rFonts w:cstheme="minorHAnsi"/>
              </w:rPr>
              <w:t xml:space="preserve"> og ikke kan samarbejde </w:t>
            </w:r>
            <w:r w:rsidR="00CB0207" w:rsidRPr="008D2084">
              <w:rPr>
                <w:rFonts w:cstheme="minorHAnsi"/>
              </w:rPr>
              <w:t>eller andre tilstande med risiko for aspiration</w:t>
            </w:r>
          </w:p>
          <w:p w14:paraId="3224BF90" w14:textId="60DD1062" w:rsidR="00BE40D5" w:rsidRPr="008D2084" w:rsidRDefault="00BE40D5" w:rsidP="00FB0034">
            <w:pPr>
              <w:pStyle w:val="Listeafsnit"/>
              <w:numPr>
                <w:ilvl w:val="0"/>
                <w:numId w:val="22"/>
              </w:numPr>
              <w:spacing w:line="300" w:lineRule="atLeast"/>
              <w:rPr>
                <w:rFonts w:cstheme="minorHAnsi"/>
              </w:rPr>
            </w:pPr>
            <w:r w:rsidRPr="008D2084">
              <w:rPr>
                <w:rFonts w:cstheme="minorHAnsi"/>
              </w:rPr>
              <w:t>K</w:t>
            </w:r>
            <w:r w:rsidR="00576C94" w:rsidRPr="008D2084">
              <w:rPr>
                <w:rFonts w:cstheme="minorHAnsi"/>
              </w:rPr>
              <w:t>endt eller mistænkt cancer i næse, svælg eller spiserør</w:t>
            </w:r>
          </w:p>
          <w:p w14:paraId="0865E7CA" w14:textId="3D3D9111" w:rsidR="00BE40D5" w:rsidRPr="008D2084" w:rsidRDefault="00BE40D5" w:rsidP="00FB0034">
            <w:pPr>
              <w:pStyle w:val="Listeafsnit"/>
              <w:numPr>
                <w:ilvl w:val="0"/>
                <w:numId w:val="22"/>
              </w:numPr>
              <w:spacing w:line="300" w:lineRule="atLeast"/>
              <w:rPr>
                <w:rFonts w:cstheme="minorHAnsi"/>
              </w:rPr>
            </w:pPr>
            <w:r w:rsidRPr="008D2084">
              <w:rPr>
                <w:rFonts w:cstheme="minorHAnsi"/>
              </w:rPr>
              <w:t>T</w:t>
            </w:r>
            <w:r w:rsidR="00576C94" w:rsidRPr="008D2084">
              <w:rPr>
                <w:rFonts w:cstheme="minorHAnsi"/>
              </w:rPr>
              <w:t>idligere operationer i næse, svælg eller spiserør</w:t>
            </w:r>
          </w:p>
          <w:p w14:paraId="4E6A8059" w14:textId="3D6A6D41" w:rsidR="00CB0207" w:rsidRPr="008D2084" w:rsidRDefault="00BE40D5" w:rsidP="00CB0207">
            <w:pPr>
              <w:pStyle w:val="Listeafsnit"/>
              <w:numPr>
                <w:ilvl w:val="0"/>
                <w:numId w:val="22"/>
              </w:numPr>
              <w:spacing w:after="200" w:line="300" w:lineRule="atLeast"/>
              <w:ind w:left="714" w:hanging="357"/>
              <w:rPr>
                <w:rFonts w:cstheme="minorHAnsi"/>
              </w:rPr>
            </w:pPr>
            <w:r w:rsidRPr="008D2084">
              <w:rPr>
                <w:rFonts w:cstheme="minorHAnsi"/>
              </w:rPr>
              <w:t>At d</w:t>
            </w:r>
            <w:r w:rsidR="00CF75F3" w:rsidRPr="008D2084">
              <w:rPr>
                <w:rFonts w:cstheme="minorHAnsi"/>
              </w:rPr>
              <w:t xml:space="preserve">er mangler journaloplysninger for at kunne vurdere </w:t>
            </w:r>
            <w:r w:rsidR="00C86657" w:rsidRPr="008D2084">
              <w:rPr>
                <w:rFonts w:cstheme="minorHAnsi"/>
              </w:rPr>
              <w:t>borgeren</w:t>
            </w:r>
          </w:p>
          <w:p w14:paraId="5DCC6947" w14:textId="4A74E2CA" w:rsidR="00CB0207" w:rsidRPr="008D2084" w:rsidRDefault="00CB0207" w:rsidP="00CB0207">
            <w:pPr>
              <w:pStyle w:val="Listeafsnit"/>
              <w:numPr>
                <w:ilvl w:val="0"/>
                <w:numId w:val="23"/>
              </w:numPr>
              <w:spacing w:after="200" w:line="300" w:lineRule="atLeast"/>
              <w:rPr>
                <w:rFonts w:cstheme="minorHAnsi"/>
              </w:rPr>
            </w:pPr>
            <w:r w:rsidRPr="008D2084">
              <w:rPr>
                <w:rFonts w:cstheme="minorHAnsi"/>
              </w:rPr>
              <w:t>Særlig opmærksomhed ved behandling med blodfortyndende behandling</w:t>
            </w:r>
          </w:p>
        </w:tc>
      </w:tr>
      <w:tr w:rsidR="008D2084" w:rsidRPr="008D2084" w14:paraId="0DEE927E" w14:textId="77777777" w:rsidTr="00125704">
        <w:tc>
          <w:tcPr>
            <w:tcW w:w="2122" w:type="dxa"/>
          </w:tcPr>
          <w:p w14:paraId="6BF786D7" w14:textId="139C84DA" w:rsidR="00DB2C60" w:rsidRPr="008D2084" w:rsidRDefault="00DB2C60" w:rsidP="00DB2C60">
            <w:pPr>
              <w:rPr>
                <w:rFonts w:cstheme="minorHAnsi"/>
                <w:b/>
                <w:bCs/>
              </w:rPr>
            </w:pPr>
            <w:r w:rsidRPr="008D2084">
              <w:rPr>
                <w:rFonts w:cstheme="minorHAnsi"/>
                <w:b/>
                <w:bCs/>
              </w:rPr>
              <w:t xml:space="preserve">Procedure </w:t>
            </w:r>
          </w:p>
        </w:tc>
        <w:tc>
          <w:tcPr>
            <w:tcW w:w="7506" w:type="dxa"/>
          </w:tcPr>
          <w:p w14:paraId="4F3E88ED" w14:textId="00288ECE" w:rsidR="00125704" w:rsidRPr="003E7386" w:rsidRDefault="00125704" w:rsidP="00FB0034">
            <w:pPr>
              <w:pStyle w:val="Default"/>
              <w:spacing w:after="200"/>
              <w:ind w:left="57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3E7386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eastAsia="da-DK"/>
              </w:rPr>
              <w:t>Indsæt link til lokal procedure eller fx VAR Healthcare.</w:t>
            </w:r>
          </w:p>
          <w:p w14:paraId="33B35B76" w14:textId="17CD1842" w:rsidR="006717E7" w:rsidRPr="003E7386" w:rsidRDefault="00C02D61" w:rsidP="00C02D61">
            <w:pPr>
              <w:pStyle w:val="Default"/>
              <w:spacing w:after="200"/>
              <w:ind w:left="57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3E7386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Kontrol af sondeplacering:</w:t>
            </w:r>
            <w:r w:rsidRPr="003E7386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br/>
            </w:r>
            <w:r w:rsidR="00F8010C" w:rsidRPr="003E7386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Sygeplejersken har pligt til at sikre kontrol af sondens placering efter anlæggelse, og inden sonden anvendes</w:t>
            </w:r>
            <w:r w:rsidRPr="003E7386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. </w:t>
            </w:r>
            <w:r w:rsidR="00F8010C" w:rsidRPr="003E7386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Kontrollen tilrettelægges afhængig af, hvilken type sonde der er tale om. </w:t>
            </w:r>
            <w:r w:rsidRPr="003E7386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Efter sonden er lagt, og sondens placering er verificeret, skal placeringen regelmæssigt kontrolleres, så længe sonden er i brug. </w:t>
            </w:r>
            <w:r w:rsidR="00F8010C" w:rsidRPr="003E7386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Der</w:t>
            </w:r>
            <w:r w:rsidR="00EA5573" w:rsidRPr="003E7386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</w:t>
            </w:r>
            <w:r w:rsidR="00A9295B" w:rsidRPr="003E7386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skal udvises s</w:t>
            </w:r>
            <w:r w:rsidR="00293CC0" w:rsidRPr="003E7386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ærlig opmærksomhed på at kontrol af placering foregår i overensstemmelse med </w:t>
            </w:r>
            <w:r w:rsidR="005B0B60" w:rsidRPr="003E7386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nyeste evidensbaserede procedure</w:t>
            </w:r>
            <w:r w:rsidR="0008529C" w:rsidRPr="003E7386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r</w:t>
            </w:r>
            <w:r w:rsidR="00043ACD" w:rsidRPr="003E7386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. </w:t>
            </w:r>
            <w:r w:rsidR="006717E7" w:rsidRPr="003E7386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En af kontrolmetoder er at kontrollere PH-værdi of </w:t>
            </w:r>
            <w:proofErr w:type="spellStart"/>
            <w:r w:rsidR="006717E7" w:rsidRPr="003E7386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ventrikelaspirat</w:t>
            </w:r>
            <w:proofErr w:type="spellEnd"/>
            <w:r w:rsidR="006717E7" w:rsidRPr="003E7386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(PH 5</w:t>
            </w:r>
            <w:r w:rsidR="006D3F5F" w:rsidRPr="003E7386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-5,5 eller lavere</w:t>
            </w:r>
            <w:r w:rsidR="006717E7" w:rsidRPr="003E7386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). Injektion af luft og efterfølgende auskult</w:t>
            </w:r>
            <w:r w:rsidR="006D3F5F" w:rsidRPr="003E7386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ation</w:t>
            </w:r>
            <w:r w:rsidR="006717E7" w:rsidRPr="003E7386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anses ikke som en sikker kontrolmetode*</w:t>
            </w:r>
          </w:p>
          <w:p w14:paraId="26A06579" w14:textId="77777777" w:rsidR="00253F4E" w:rsidRPr="003E7386" w:rsidRDefault="00253F4E" w:rsidP="00253F4E">
            <w:pPr>
              <w:pStyle w:val="Default"/>
              <w:rPr>
                <w:rFonts w:cstheme="minorHAnsi"/>
                <w:bCs/>
                <w:sz w:val="22"/>
                <w:szCs w:val="22"/>
              </w:rPr>
            </w:pPr>
            <w:r w:rsidRPr="003E7386">
              <w:rPr>
                <w:rFonts w:cstheme="minorHAnsi"/>
                <w:bCs/>
                <w:sz w:val="22"/>
                <w:szCs w:val="22"/>
              </w:rPr>
              <w:t>Sygeplejersken skal være opmærksom på:</w:t>
            </w:r>
          </w:p>
          <w:p w14:paraId="726193EB" w14:textId="77777777" w:rsidR="00253F4E" w:rsidRPr="003E7386" w:rsidRDefault="00253F4E" w:rsidP="00253F4E">
            <w:pPr>
              <w:pStyle w:val="Default"/>
              <w:numPr>
                <w:ilvl w:val="0"/>
                <w:numId w:val="27"/>
              </w:numPr>
              <w:rPr>
                <w:rFonts w:cstheme="minorHAnsi"/>
                <w:bCs/>
                <w:sz w:val="22"/>
                <w:szCs w:val="22"/>
              </w:rPr>
            </w:pPr>
            <w:r w:rsidRPr="003E7386">
              <w:rPr>
                <w:rFonts w:cstheme="minorHAnsi"/>
                <w:bCs/>
                <w:sz w:val="22"/>
                <w:szCs w:val="22"/>
              </w:rPr>
              <w:lastRenderedPageBreak/>
              <w:t>Patientens bevægelser, hoste eller opkastning, eller utilstrækkelig fastgørelse af sonden, kan få sonden til at flytte sig ud af ventriklen</w:t>
            </w:r>
          </w:p>
          <w:p w14:paraId="24748AB8" w14:textId="77777777" w:rsidR="00253F4E" w:rsidRPr="003E7386" w:rsidRDefault="00253F4E" w:rsidP="00253F4E">
            <w:pPr>
              <w:pStyle w:val="Default"/>
              <w:numPr>
                <w:ilvl w:val="0"/>
                <w:numId w:val="27"/>
              </w:numPr>
              <w:rPr>
                <w:rFonts w:cstheme="minorHAnsi"/>
                <w:bCs/>
                <w:sz w:val="22"/>
                <w:szCs w:val="22"/>
              </w:rPr>
            </w:pPr>
            <w:r w:rsidRPr="003E7386">
              <w:rPr>
                <w:rFonts w:cstheme="minorHAnsi"/>
                <w:bCs/>
                <w:sz w:val="22"/>
                <w:szCs w:val="22"/>
              </w:rPr>
              <w:t xml:space="preserve">En forkert placeret sonde kan føre til kvalme, opkastning og </w:t>
            </w:r>
            <w:proofErr w:type="spellStart"/>
            <w:r w:rsidRPr="003E7386">
              <w:rPr>
                <w:rFonts w:cstheme="minorHAnsi"/>
                <w:bCs/>
                <w:sz w:val="22"/>
                <w:szCs w:val="22"/>
              </w:rPr>
              <w:t>aspirering</w:t>
            </w:r>
            <w:proofErr w:type="spellEnd"/>
            <w:r w:rsidRPr="003E7386">
              <w:rPr>
                <w:rFonts w:cstheme="minorHAnsi"/>
                <w:bCs/>
                <w:sz w:val="22"/>
                <w:szCs w:val="22"/>
              </w:rPr>
              <w:t xml:space="preserve"> af sondeernæring</w:t>
            </w:r>
          </w:p>
          <w:p w14:paraId="2870A3B5" w14:textId="08CB1DBD" w:rsidR="00253F4E" w:rsidRPr="003E7386" w:rsidRDefault="00253F4E" w:rsidP="00253F4E">
            <w:pPr>
              <w:pStyle w:val="Default"/>
              <w:numPr>
                <w:ilvl w:val="0"/>
                <w:numId w:val="27"/>
              </w:numPr>
              <w:rPr>
                <w:rFonts w:cstheme="minorHAnsi"/>
                <w:bCs/>
                <w:sz w:val="22"/>
                <w:szCs w:val="22"/>
              </w:rPr>
            </w:pPr>
            <w:r w:rsidRPr="003E7386">
              <w:rPr>
                <w:rFonts w:cstheme="minorHAnsi"/>
                <w:bCs/>
                <w:sz w:val="22"/>
                <w:szCs w:val="22"/>
              </w:rPr>
              <w:t>Ved tvivl om korrekt placering må der ikke må gives noget i sonden, for at forebygge komplikationer</w:t>
            </w:r>
          </w:p>
          <w:p w14:paraId="405214F1" w14:textId="3228494F" w:rsidR="00F8010C" w:rsidRPr="003E7386" w:rsidRDefault="009213F5" w:rsidP="00F8010C">
            <w:pPr>
              <w:pStyle w:val="Default"/>
              <w:spacing w:after="200"/>
              <w:ind w:left="57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3E7386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Hvis man er tvivl om sondens placering, skal man kontakte behandlingsansvarlig læge mhp</w:t>
            </w:r>
            <w:r w:rsidR="00C02D61" w:rsidRPr="003E7386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.</w:t>
            </w:r>
            <w:r w:rsidRPr="003E7386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 xml:space="preserve"> afklaring af kontrolprocedure.</w:t>
            </w:r>
          </w:p>
          <w:p w14:paraId="25141176" w14:textId="1F732DEA" w:rsidR="00F8010C" w:rsidRPr="003E7386" w:rsidRDefault="00F8010C" w:rsidP="00FB0034">
            <w:pPr>
              <w:pStyle w:val="Default"/>
              <w:spacing w:after="200"/>
              <w:ind w:left="57"/>
              <w:rPr>
                <w:rFonts w:asciiTheme="minorHAnsi" w:hAnsiTheme="minorHAnsi" w:cstheme="minorHAnsi"/>
                <w:color w:val="auto"/>
                <w:sz w:val="22"/>
                <w:szCs w:val="22"/>
                <w:shd w:val="clear" w:color="auto" w:fill="FFFFFF"/>
              </w:rPr>
            </w:pPr>
            <w:r w:rsidRPr="003E738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Sygeplejersken skal følge Sundhedsstyrelsens vejledning nr. 10241 af 21. november 2007 om anvendelse af perorale fødesonder.</w:t>
            </w:r>
          </w:p>
        </w:tc>
      </w:tr>
      <w:tr w:rsidR="008D2084" w:rsidRPr="008D2084" w14:paraId="22BF7943" w14:textId="77777777" w:rsidTr="00571192">
        <w:tc>
          <w:tcPr>
            <w:tcW w:w="212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5BCAA52" w14:textId="37ECA2C2" w:rsidR="008D2084" w:rsidRPr="008D2084" w:rsidRDefault="008D2084" w:rsidP="008D2084">
            <w:pPr>
              <w:rPr>
                <w:rFonts w:cstheme="minorHAnsi"/>
                <w:b/>
                <w:bCs/>
              </w:rPr>
            </w:pPr>
            <w:r w:rsidRPr="00353738">
              <w:rPr>
                <w:rFonts w:cstheme="minorHAnsi"/>
                <w:b/>
                <w:bCs/>
              </w:rPr>
              <w:lastRenderedPageBreak/>
              <w:t>Orientering af borgerens egen eller behand</w:t>
            </w:r>
            <w:r>
              <w:rPr>
                <w:rFonts w:cstheme="minorHAnsi"/>
                <w:b/>
                <w:bCs/>
              </w:rPr>
              <w:t>lings-ansvarlig læge</w:t>
            </w:r>
          </w:p>
        </w:tc>
        <w:tc>
          <w:tcPr>
            <w:tcW w:w="75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71E66D6" w14:textId="678E42D1" w:rsidR="00C02D61" w:rsidRPr="003E7386" w:rsidRDefault="00C02D61" w:rsidP="00C02D61">
            <w:pPr>
              <w:rPr>
                <w:rFonts w:eastAsia="Times New Roman" w:cstheme="minorHAnsi"/>
                <w:lang w:eastAsia="da-DK"/>
              </w:rPr>
            </w:pPr>
            <w:r w:rsidRPr="003E7386">
              <w:rPr>
                <w:rFonts w:eastAsia="Times New Roman" w:cstheme="minorHAnsi"/>
                <w:lang w:eastAsia="da-DK"/>
              </w:rPr>
              <w:t>Den behandlende sygeplejerske skal orientere borgerens læge uden unødig forsinkelse, fx ved telefonisk opkald, hvis en igangværende behandling udvikler sig uhensigtsmæssigt eller uforudset</w:t>
            </w:r>
          </w:p>
          <w:p w14:paraId="1F7EB9C9" w14:textId="77777777" w:rsidR="00C02D61" w:rsidRPr="003E7386" w:rsidRDefault="00C02D61" w:rsidP="00C02D61">
            <w:pPr>
              <w:rPr>
                <w:rFonts w:eastAsia="Times New Roman" w:cstheme="minorHAnsi"/>
                <w:lang w:eastAsia="da-DK"/>
              </w:rPr>
            </w:pPr>
          </w:p>
          <w:p w14:paraId="145C0D5E" w14:textId="77777777" w:rsidR="00C02D61" w:rsidRPr="003E7386" w:rsidRDefault="00C02D61" w:rsidP="00C02D61">
            <w:pPr>
              <w:rPr>
                <w:rFonts w:eastAsia="Times New Roman" w:cstheme="minorHAnsi"/>
                <w:lang w:eastAsia="da-DK"/>
              </w:rPr>
            </w:pPr>
            <w:r w:rsidRPr="003E7386">
              <w:rPr>
                <w:rFonts w:eastAsia="Times New Roman" w:cstheme="minorHAnsi"/>
                <w:lang w:eastAsia="da-DK"/>
              </w:rPr>
              <w:t>Den behandlende sygeplejerske skal også orientere borgerens læge</w:t>
            </w:r>
          </w:p>
          <w:p w14:paraId="2A7978A9" w14:textId="5EBE96BA" w:rsidR="00C02D61" w:rsidRPr="003E7386" w:rsidRDefault="00C02D61" w:rsidP="00C02D61">
            <w:pPr>
              <w:pStyle w:val="Listeafsnit"/>
              <w:numPr>
                <w:ilvl w:val="0"/>
                <w:numId w:val="28"/>
              </w:numPr>
              <w:spacing w:after="200"/>
              <w:rPr>
                <w:rFonts w:eastAsia="Times New Roman" w:cstheme="minorHAnsi"/>
                <w:lang w:eastAsia="da-DK"/>
              </w:rPr>
            </w:pPr>
            <w:r w:rsidRPr="003E7386">
              <w:rPr>
                <w:rFonts w:eastAsia="Times New Roman" w:cstheme="minorHAnsi"/>
                <w:lang w:eastAsia="da-DK"/>
              </w:rPr>
              <w:t>Hvis sonden fx skal genlægges med stigende hyppighed</w:t>
            </w:r>
          </w:p>
          <w:p w14:paraId="1116B700" w14:textId="77777777" w:rsidR="00C02D61" w:rsidRPr="003E7386" w:rsidRDefault="00C02D61" w:rsidP="00C02D61">
            <w:pPr>
              <w:pStyle w:val="Listeafsnit"/>
              <w:numPr>
                <w:ilvl w:val="0"/>
                <w:numId w:val="28"/>
              </w:numPr>
              <w:spacing w:after="200"/>
              <w:rPr>
                <w:rFonts w:eastAsia="Times New Roman" w:cstheme="minorHAnsi"/>
                <w:lang w:eastAsia="da-DK"/>
              </w:rPr>
            </w:pPr>
            <w:r w:rsidRPr="003E7386">
              <w:rPr>
                <w:rFonts w:eastAsia="Times New Roman" w:cstheme="minorHAnsi"/>
                <w:lang w:eastAsia="da-DK"/>
              </w:rPr>
              <w:t>hvis det vurderes af sygeplejersken, at den behandlingsplan sygeplejersken har lagt skal justeres af en læge.</w:t>
            </w:r>
          </w:p>
          <w:p w14:paraId="41DEFDE8" w14:textId="2F77390B" w:rsidR="008D2084" w:rsidRPr="003E7386" w:rsidRDefault="00C02D61" w:rsidP="00C02D61">
            <w:pPr>
              <w:pStyle w:val="Default"/>
              <w:spacing w:after="200"/>
              <w:ind w:left="57"/>
              <w:rPr>
                <w:rFonts w:asciiTheme="minorHAnsi" w:eastAsia="Times New Roman" w:hAnsiTheme="minorHAnsi" w:cstheme="minorHAnsi"/>
                <w:color w:val="auto"/>
                <w:sz w:val="22"/>
                <w:lang w:eastAsia="da-DK"/>
              </w:rPr>
            </w:pPr>
            <w:r w:rsidRPr="003E7386">
              <w:rPr>
                <w:sz w:val="22"/>
                <w:szCs w:val="22"/>
              </w:rPr>
              <w:t>Efter endt behandling eller behandlingsforløb skal lægen orienteres inden for 2 dage.</w:t>
            </w:r>
          </w:p>
        </w:tc>
      </w:tr>
      <w:tr w:rsidR="008D2084" w:rsidRPr="008D2084" w14:paraId="70C6E73B" w14:textId="77777777" w:rsidTr="00125704">
        <w:tc>
          <w:tcPr>
            <w:tcW w:w="2122" w:type="dxa"/>
          </w:tcPr>
          <w:p w14:paraId="5EFC791F" w14:textId="77777777" w:rsidR="008D2084" w:rsidRPr="008D2084" w:rsidRDefault="008D2084" w:rsidP="008D2084">
            <w:pPr>
              <w:rPr>
                <w:rFonts w:cstheme="minorHAnsi"/>
                <w:b/>
                <w:bCs/>
              </w:rPr>
            </w:pPr>
            <w:r w:rsidRPr="008D2084">
              <w:rPr>
                <w:rFonts w:cstheme="minorHAnsi"/>
                <w:b/>
                <w:bCs/>
              </w:rPr>
              <w:t>Dokumentation</w:t>
            </w:r>
          </w:p>
        </w:tc>
        <w:tc>
          <w:tcPr>
            <w:tcW w:w="7506" w:type="dxa"/>
          </w:tcPr>
          <w:p w14:paraId="4C4E3EAA" w14:textId="2B2C4950" w:rsidR="008D2084" w:rsidRPr="008D2084" w:rsidRDefault="008D2084" w:rsidP="008D2084">
            <w:pPr>
              <w:spacing w:after="200"/>
              <w:ind w:left="57"/>
              <w:rPr>
                <w:rFonts w:cstheme="minorHAnsi"/>
              </w:rPr>
            </w:pPr>
            <w:r w:rsidRPr="008D2084">
              <w:rPr>
                <w:rFonts w:cstheme="minorHAnsi"/>
              </w:rPr>
              <w:t xml:space="preserve">Sker i overensstemmelse med den enkelte kommunes retningslinjer vedr. dokumentation og vejledning om journalføring. </w:t>
            </w:r>
          </w:p>
        </w:tc>
      </w:tr>
      <w:tr w:rsidR="008D2084" w:rsidRPr="008D2084" w14:paraId="7CCC50B8" w14:textId="77777777" w:rsidTr="00125704">
        <w:tc>
          <w:tcPr>
            <w:tcW w:w="2122" w:type="dxa"/>
          </w:tcPr>
          <w:p w14:paraId="04F7145E" w14:textId="77777777" w:rsidR="008D2084" w:rsidRPr="008D2084" w:rsidRDefault="008D2084" w:rsidP="008D2084">
            <w:pPr>
              <w:rPr>
                <w:rFonts w:cstheme="minorHAnsi"/>
                <w:b/>
                <w:bCs/>
              </w:rPr>
            </w:pPr>
            <w:r w:rsidRPr="008D2084">
              <w:rPr>
                <w:rFonts w:cstheme="minorHAnsi"/>
                <w:b/>
                <w:bCs/>
              </w:rPr>
              <w:t>Referencer</w:t>
            </w:r>
          </w:p>
        </w:tc>
        <w:tc>
          <w:tcPr>
            <w:tcW w:w="7506" w:type="dxa"/>
          </w:tcPr>
          <w:p w14:paraId="43C08F09" w14:textId="110DD8B2" w:rsidR="008D2084" w:rsidRDefault="00000000" w:rsidP="008D2084">
            <w:pPr>
              <w:spacing w:after="200"/>
              <w:ind w:left="57"/>
              <w:rPr>
                <w:rFonts w:cstheme="minorHAnsi"/>
              </w:rPr>
            </w:pPr>
            <w:hyperlink r:id="rId11" w:history="1">
              <w:proofErr w:type="spellStart"/>
              <w:r w:rsidR="008D2084" w:rsidRPr="008D2084">
                <w:rPr>
                  <w:rStyle w:val="Hyperlink"/>
                  <w:rFonts w:cstheme="minorHAnsi"/>
                  <w:color w:val="auto"/>
                </w:rPr>
                <w:t>Nasogastrisk</w:t>
              </w:r>
              <w:proofErr w:type="spellEnd"/>
              <w:r w:rsidR="008D2084" w:rsidRPr="008D2084">
                <w:rPr>
                  <w:rStyle w:val="Hyperlink"/>
                  <w:rFonts w:cstheme="minorHAnsi"/>
                  <w:color w:val="auto"/>
                </w:rPr>
                <w:t xml:space="preserve"> ernæringssonde: anlæggelse</w:t>
              </w:r>
            </w:hyperlink>
            <w:r w:rsidR="008D2084" w:rsidRPr="008D2084">
              <w:rPr>
                <w:rStyle w:val="Hyperlink"/>
                <w:rFonts w:cstheme="minorHAnsi"/>
                <w:color w:val="auto"/>
              </w:rPr>
              <w:t xml:space="preserve"> </w:t>
            </w:r>
            <w:r w:rsidR="008D2084" w:rsidRPr="008D2084">
              <w:rPr>
                <w:rFonts w:cstheme="minorHAnsi"/>
              </w:rPr>
              <w:t>Hentet fra VAR Healthcare den 02.04.2024</w:t>
            </w:r>
          </w:p>
          <w:p w14:paraId="27171BA6" w14:textId="2472397F" w:rsidR="00D23B0B" w:rsidRPr="008D2084" w:rsidRDefault="00000000" w:rsidP="008D2084">
            <w:pPr>
              <w:spacing w:after="200"/>
              <w:ind w:left="57"/>
              <w:rPr>
                <w:rFonts w:cstheme="minorHAnsi"/>
                <w:u w:val="single"/>
              </w:rPr>
            </w:pPr>
            <w:hyperlink r:id="rId12" w:history="1">
              <w:proofErr w:type="spellStart"/>
              <w:r w:rsidR="00D23B0B">
                <w:rPr>
                  <w:rStyle w:val="Hyperlink"/>
                </w:rPr>
                <w:t>Nasogastrisk</w:t>
              </w:r>
              <w:proofErr w:type="spellEnd"/>
              <w:r w:rsidR="00D23B0B">
                <w:rPr>
                  <w:rStyle w:val="Hyperlink"/>
                </w:rPr>
                <w:t xml:space="preserve"> ernæringssonde: fjernelse</w:t>
              </w:r>
            </w:hyperlink>
            <w:r w:rsidR="00D23B0B">
              <w:t xml:space="preserve"> Hentet fra VAR Healthcare d. 18</w:t>
            </w:r>
            <w:r w:rsidR="00C02D61">
              <w:t>.0</w:t>
            </w:r>
            <w:r w:rsidR="00D23B0B">
              <w:t>6</w:t>
            </w:r>
            <w:r w:rsidR="00C02D61">
              <w:t>.</w:t>
            </w:r>
            <w:r w:rsidR="00D23B0B">
              <w:t>2024</w:t>
            </w:r>
          </w:p>
          <w:p w14:paraId="62E3038B" w14:textId="701D3862" w:rsidR="008D2084" w:rsidRPr="008D2084" w:rsidRDefault="00000000" w:rsidP="008D2084">
            <w:pPr>
              <w:spacing w:after="200"/>
              <w:ind w:left="57"/>
              <w:rPr>
                <w:rFonts w:cstheme="minorHAnsi"/>
              </w:rPr>
            </w:pPr>
            <w:hyperlink r:id="rId13" w:history="1">
              <w:proofErr w:type="spellStart"/>
              <w:r w:rsidR="008D2084" w:rsidRPr="008D2084">
                <w:rPr>
                  <w:rStyle w:val="Hyperlink"/>
                  <w:rFonts w:cstheme="minorHAnsi"/>
                  <w:color w:val="auto"/>
                </w:rPr>
                <w:t>Nasogastrisk</w:t>
              </w:r>
              <w:proofErr w:type="spellEnd"/>
              <w:r w:rsidR="008D2084" w:rsidRPr="008D2084">
                <w:rPr>
                  <w:rStyle w:val="Hyperlink"/>
                  <w:rFonts w:cstheme="minorHAnsi"/>
                  <w:color w:val="auto"/>
                </w:rPr>
                <w:t xml:space="preserve"> ernæringssonde: Metode til kontrol af sondeplacering</w:t>
              </w:r>
            </w:hyperlink>
            <w:r w:rsidR="008D2084" w:rsidRPr="008D2084">
              <w:rPr>
                <w:rFonts w:cstheme="minorHAnsi"/>
              </w:rPr>
              <w:t>* Hentet fra VAR Healthcare den 02.04.2024</w:t>
            </w:r>
          </w:p>
          <w:p w14:paraId="1A388D24" w14:textId="57B00FDF" w:rsidR="008D2084" w:rsidRPr="008D2084" w:rsidRDefault="00000000" w:rsidP="008D2084">
            <w:pPr>
              <w:spacing w:after="200"/>
              <w:ind w:left="57"/>
            </w:pPr>
            <w:hyperlink r:id="rId14" w:history="1">
              <w:r w:rsidR="008D2084" w:rsidRPr="008D2084">
                <w:rPr>
                  <w:rStyle w:val="Hyperlink"/>
                  <w:rFonts w:cstheme="minorHAnsi"/>
                  <w:color w:val="auto"/>
                </w:rPr>
                <w:t>Vejledning om anvendelse af perorale fødesonder</w:t>
              </w:r>
            </w:hyperlink>
            <w:r w:rsidR="008D2084" w:rsidRPr="008D2084">
              <w:rPr>
                <w:rFonts w:cstheme="minorHAnsi"/>
              </w:rPr>
              <w:t xml:space="preserve"> Hentet fra Retsinformation den 02.04.2024</w:t>
            </w:r>
          </w:p>
          <w:p w14:paraId="523021CB" w14:textId="77777777" w:rsidR="008D2084" w:rsidRPr="008D2084" w:rsidRDefault="00000000" w:rsidP="008D2084">
            <w:pPr>
              <w:spacing w:after="200"/>
              <w:ind w:left="57"/>
              <w:rPr>
                <w:rFonts w:cstheme="minorHAnsi"/>
              </w:rPr>
            </w:pPr>
            <w:hyperlink r:id="rId15" w:history="1">
              <w:r w:rsidR="008D2084" w:rsidRPr="008D2084">
                <w:rPr>
                  <w:rStyle w:val="Hyperlink"/>
                  <w:color w:val="auto"/>
                </w:rPr>
                <w:t>Er sonden placeret korrekt? | Styrelsen for Patientsikkerhed (stps.dk)</w:t>
              </w:r>
            </w:hyperlink>
            <w:r w:rsidR="008D2084" w:rsidRPr="008D2084">
              <w:rPr>
                <w:rStyle w:val="Hyperlink"/>
                <w:color w:val="auto"/>
              </w:rPr>
              <w:t xml:space="preserve"> </w:t>
            </w:r>
            <w:r w:rsidR="008D2084" w:rsidRPr="008D2084">
              <w:rPr>
                <w:rFonts w:cstheme="minorHAnsi"/>
              </w:rPr>
              <w:t>Hentet fra Styrelsen for Patientsikkerhed den 02.04.2024</w:t>
            </w:r>
          </w:p>
          <w:p w14:paraId="1B8D4CB4" w14:textId="193E3A7B" w:rsidR="008D2084" w:rsidRPr="008D2084" w:rsidRDefault="008D2084" w:rsidP="008D2084">
            <w:pPr>
              <w:spacing w:after="200"/>
              <w:ind w:left="57"/>
              <w:textAlignment w:val="baseline"/>
              <w:rPr>
                <w:rFonts w:cstheme="minorHAnsi"/>
              </w:rPr>
            </w:pPr>
            <w:r w:rsidRPr="008D2084">
              <w:rPr>
                <w:rFonts w:cstheme="minorHAnsi"/>
              </w:rPr>
              <w:t xml:space="preserve">Vejledning om sygeplejerskers forbeholdte virksomhedsområde </w:t>
            </w:r>
          </w:p>
          <w:p w14:paraId="2F30C397" w14:textId="6D2C1BA1" w:rsidR="008D2084" w:rsidRPr="008D2084" w:rsidRDefault="00000000" w:rsidP="008D2084">
            <w:pPr>
              <w:spacing w:after="200"/>
              <w:ind w:left="57"/>
              <w:rPr>
                <w:rFonts w:cstheme="minorHAnsi"/>
              </w:rPr>
            </w:pPr>
            <w:hyperlink r:id="rId16" w:history="1">
              <w:r w:rsidR="00D23B0B">
                <w:rPr>
                  <w:rStyle w:val="Hyperlink"/>
                </w:rPr>
                <w:t>Bekendtgørelse om sygeplejerskers forbeholdte virksomhedsområde og orientering af patientens egen eller behandlende læge (retsinformation.dk)</w:t>
              </w:r>
            </w:hyperlink>
            <w:r w:rsidR="00D23B0B">
              <w:t xml:space="preserve"> Hentet d. </w:t>
            </w:r>
            <w:r w:rsidR="00C02D61">
              <w:t>18.06.2024</w:t>
            </w:r>
          </w:p>
        </w:tc>
      </w:tr>
    </w:tbl>
    <w:p w14:paraId="68D6B14F" w14:textId="77777777" w:rsidR="00FD5B09" w:rsidRPr="008D2084" w:rsidRDefault="00FD5B09" w:rsidP="00FD5B09">
      <w:pPr>
        <w:rPr>
          <w:rFonts w:cstheme="minorHAnsi"/>
        </w:rPr>
      </w:pPr>
    </w:p>
    <w:sectPr w:rsidR="00FD5B09" w:rsidRPr="008D2084">
      <w:footerReference w:type="default" r:id="rId1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B7A069" w14:textId="77777777" w:rsidR="00EB1471" w:rsidRDefault="00EB1471" w:rsidP="00484302">
      <w:pPr>
        <w:spacing w:after="0" w:line="240" w:lineRule="auto"/>
      </w:pPr>
      <w:r>
        <w:separator/>
      </w:r>
    </w:p>
  </w:endnote>
  <w:endnote w:type="continuationSeparator" w:id="0">
    <w:p w14:paraId="53C93B34" w14:textId="77777777" w:rsidR="00EB1471" w:rsidRDefault="00EB1471" w:rsidP="00484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67410562"/>
      <w:docPartObj>
        <w:docPartGallery w:val="Page Numbers (Bottom of Page)"/>
        <w:docPartUnique/>
      </w:docPartObj>
    </w:sdtPr>
    <w:sdtContent>
      <w:p w14:paraId="17509381" w14:textId="77777777" w:rsidR="00BB4412" w:rsidRDefault="00BB4412">
        <w:pPr>
          <w:pStyle w:val="Sidefod"/>
          <w:jc w:val="right"/>
        </w:pPr>
      </w:p>
      <w:p w14:paraId="09378A77" w14:textId="59DE0923" w:rsidR="00BB4412" w:rsidRDefault="00BB4412" w:rsidP="00841FB9">
        <w:pPr>
          <w:pStyle w:val="Sidefod"/>
        </w:pPr>
        <w:r>
          <w:t xml:space="preserve">Version </w:t>
        </w:r>
        <w:r w:rsidR="00C02D61">
          <w:t>3</w:t>
        </w:r>
        <w:r>
          <w:t xml:space="preserve"> den </w:t>
        </w:r>
        <w:r w:rsidR="00C02D61">
          <w:t>18</w:t>
        </w:r>
        <w:r>
          <w:t>.</w:t>
        </w:r>
        <w:r w:rsidR="002A2C86">
          <w:t>0</w:t>
        </w:r>
        <w:r w:rsidR="00C02D61">
          <w:t>6</w:t>
        </w:r>
        <w:r>
          <w:t>.2</w:t>
        </w:r>
        <w:r w:rsidR="002A2C86">
          <w:t>4</w:t>
        </w:r>
        <w:r>
          <w:t xml:space="preserve">                                    </w:t>
        </w:r>
      </w:p>
      <w:p w14:paraId="32C7BF76" w14:textId="77777777" w:rsidR="00BB4412" w:rsidRDefault="00000000" w:rsidP="00841FB9">
        <w:pPr>
          <w:pStyle w:val="Sidefod"/>
          <w:jc w:val="center"/>
        </w:pPr>
      </w:p>
    </w:sdtContent>
  </w:sdt>
  <w:p w14:paraId="3408EF9B" w14:textId="77777777" w:rsidR="00BB4412" w:rsidRDefault="00BB4412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4C1251" w14:textId="77777777" w:rsidR="00EB1471" w:rsidRDefault="00EB1471" w:rsidP="00484302">
      <w:pPr>
        <w:spacing w:after="0" w:line="240" w:lineRule="auto"/>
      </w:pPr>
      <w:r>
        <w:separator/>
      </w:r>
    </w:p>
  </w:footnote>
  <w:footnote w:type="continuationSeparator" w:id="0">
    <w:p w14:paraId="4E4F2440" w14:textId="77777777" w:rsidR="00EB1471" w:rsidRDefault="00EB1471" w:rsidP="00484302">
      <w:pPr>
        <w:spacing w:after="0" w:line="240" w:lineRule="auto"/>
      </w:pPr>
      <w:r>
        <w:continuationSeparator/>
      </w:r>
    </w:p>
  </w:footnote>
  <w:footnote w:id="1">
    <w:p w14:paraId="527F4BBD" w14:textId="49B0E3A6" w:rsidR="00424769" w:rsidRDefault="00424769" w:rsidP="00424769">
      <w:pPr>
        <w:pStyle w:val="Fodnotetekst"/>
      </w:pPr>
      <w:r>
        <w:rPr>
          <w:rStyle w:val="Fodnotehenvisning"/>
        </w:rPr>
        <w:footnoteRef/>
      </w:r>
      <w:r>
        <w:t xml:space="preserve"> </w:t>
      </w:r>
      <w:r w:rsidRPr="000125BA">
        <w:rPr>
          <w:rFonts w:asciiTheme="minorHAnsi" w:hAnsiTheme="minorHAnsi" w:cstheme="minorHAnsi"/>
          <w:sz w:val="18"/>
          <w:szCs w:val="18"/>
        </w:rPr>
        <w:t xml:space="preserve">Hvilke væsker, som sygeplejersken selvstændigt vil kunne indføre gennem </w:t>
      </w:r>
      <w:r>
        <w:rPr>
          <w:rFonts w:asciiTheme="minorHAnsi" w:hAnsiTheme="minorHAnsi" w:cstheme="minorHAnsi"/>
          <w:sz w:val="18"/>
          <w:szCs w:val="18"/>
        </w:rPr>
        <w:t>sonden</w:t>
      </w:r>
      <w:r w:rsidRPr="000125BA">
        <w:rPr>
          <w:rFonts w:asciiTheme="minorHAnsi" w:hAnsiTheme="minorHAnsi" w:cstheme="minorHAnsi"/>
          <w:sz w:val="18"/>
          <w:szCs w:val="18"/>
        </w:rPr>
        <w:t xml:space="preserve">, er fastlagt i bekendtgørelse nr. </w:t>
      </w:r>
      <w:r w:rsidR="00D23B0B">
        <w:rPr>
          <w:rFonts w:asciiTheme="minorHAnsi" w:hAnsiTheme="minorHAnsi" w:cstheme="minorHAnsi"/>
          <w:sz w:val="18"/>
          <w:szCs w:val="18"/>
        </w:rPr>
        <w:t>576</w:t>
      </w:r>
      <w:r w:rsidRPr="000125BA">
        <w:rPr>
          <w:rFonts w:asciiTheme="minorHAnsi" w:hAnsiTheme="minorHAnsi" w:cstheme="minorHAnsi"/>
          <w:sz w:val="18"/>
          <w:szCs w:val="18"/>
        </w:rPr>
        <w:t xml:space="preserve"> af </w:t>
      </w:r>
      <w:r w:rsidR="00D23B0B">
        <w:rPr>
          <w:rFonts w:asciiTheme="minorHAnsi" w:hAnsiTheme="minorHAnsi" w:cstheme="minorHAnsi"/>
          <w:sz w:val="18"/>
          <w:szCs w:val="18"/>
        </w:rPr>
        <w:t>28/05/2024</w:t>
      </w:r>
      <w:r w:rsidRPr="000125BA">
        <w:rPr>
          <w:rFonts w:asciiTheme="minorHAnsi" w:hAnsiTheme="minorHAnsi" w:cstheme="minorHAnsi"/>
          <w:sz w:val="18"/>
          <w:szCs w:val="18"/>
        </w:rPr>
        <w:t xml:space="preserve"> om sygeplejerskers forbeholdte virksomhedsområde og orientering af patientens egen eller behandlende læge.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D0869"/>
    <w:multiLevelType w:val="hybridMultilevel"/>
    <w:tmpl w:val="B9301B28"/>
    <w:lvl w:ilvl="0" w:tplc="0406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8D34073"/>
    <w:multiLevelType w:val="hybridMultilevel"/>
    <w:tmpl w:val="7842FED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416C0"/>
    <w:multiLevelType w:val="hybridMultilevel"/>
    <w:tmpl w:val="5298ECE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AD6C6D"/>
    <w:multiLevelType w:val="hybridMultilevel"/>
    <w:tmpl w:val="9EC800C8"/>
    <w:lvl w:ilvl="0" w:tplc="75D26C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614877"/>
    <w:multiLevelType w:val="hybridMultilevel"/>
    <w:tmpl w:val="0480FB72"/>
    <w:lvl w:ilvl="0" w:tplc="F8CE9C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FF3935"/>
    <w:multiLevelType w:val="hybridMultilevel"/>
    <w:tmpl w:val="F184E43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B031E5"/>
    <w:multiLevelType w:val="hybridMultilevel"/>
    <w:tmpl w:val="C6D8DB3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0A19A1"/>
    <w:multiLevelType w:val="hybridMultilevel"/>
    <w:tmpl w:val="68D0704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2A53F8"/>
    <w:multiLevelType w:val="hybridMultilevel"/>
    <w:tmpl w:val="2286E5BC"/>
    <w:lvl w:ilvl="0" w:tplc="000C45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8E7E98"/>
    <w:multiLevelType w:val="hybridMultilevel"/>
    <w:tmpl w:val="D10EA41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8C14E0"/>
    <w:multiLevelType w:val="hybridMultilevel"/>
    <w:tmpl w:val="D558402E"/>
    <w:lvl w:ilvl="0" w:tplc="B51A25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0071EC"/>
    <w:multiLevelType w:val="hybridMultilevel"/>
    <w:tmpl w:val="76F0701E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29A0CC7"/>
    <w:multiLevelType w:val="hybridMultilevel"/>
    <w:tmpl w:val="B4CCACD4"/>
    <w:lvl w:ilvl="0" w:tplc="B51A25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417E80"/>
    <w:multiLevelType w:val="hybridMultilevel"/>
    <w:tmpl w:val="A74A5CA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9F61E7"/>
    <w:multiLevelType w:val="hybridMultilevel"/>
    <w:tmpl w:val="3AC88524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6492C24"/>
    <w:multiLevelType w:val="hybridMultilevel"/>
    <w:tmpl w:val="537654E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5113DC"/>
    <w:multiLevelType w:val="hybridMultilevel"/>
    <w:tmpl w:val="15A4B4F4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0D00A4"/>
    <w:multiLevelType w:val="hybridMultilevel"/>
    <w:tmpl w:val="778A5AC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6C79F0"/>
    <w:multiLevelType w:val="hybridMultilevel"/>
    <w:tmpl w:val="265AD1E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B31A3D"/>
    <w:multiLevelType w:val="hybridMultilevel"/>
    <w:tmpl w:val="FF680790"/>
    <w:lvl w:ilvl="0" w:tplc="84308C90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130" w:hanging="360"/>
      </w:pPr>
    </w:lvl>
    <w:lvl w:ilvl="2" w:tplc="0406001B" w:tentative="1">
      <w:start w:val="1"/>
      <w:numFmt w:val="lowerRoman"/>
      <w:lvlText w:val="%3."/>
      <w:lvlJc w:val="right"/>
      <w:pPr>
        <w:ind w:left="1850" w:hanging="180"/>
      </w:pPr>
    </w:lvl>
    <w:lvl w:ilvl="3" w:tplc="0406000F" w:tentative="1">
      <w:start w:val="1"/>
      <w:numFmt w:val="decimal"/>
      <w:lvlText w:val="%4."/>
      <w:lvlJc w:val="left"/>
      <w:pPr>
        <w:ind w:left="2570" w:hanging="360"/>
      </w:pPr>
    </w:lvl>
    <w:lvl w:ilvl="4" w:tplc="04060019" w:tentative="1">
      <w:start w:val="1"/>
      <w:numFmt w:val="lowerLetter"/>
      <w:lvlText w:val="%5."/>
      <w:lvlJc w:val="left"/>
      <w:pPr>
        <w:ind w:left="3290" w:hanging="360"/>
      </w:pPr>
    </w:lvl>
    <w:lvl w:ilvl="5" w:tplc="0406001B" w:tentative="1">
      <w:start w:val="1"/>
      <w:numFmt w:val="lowerRoman"/>
      <w:lvlText w:val="%6."/>
      <w:lvlJc w:val="right"/>
      <w:pPr>
        <w:ind w:left="4010" w:hanging="180"/>
      </w:pPr>
    </w:lvl>
    <w:lvl w:ilvl="6" w:tplc="0406000F" w:tentative="1">
      <w:start w:val="1"/>
      <w:numFmt w:val="decimal"/>
      <w:lvlText w:val="%7."/>
      <w:lvlJc w:val="left"/>
      <w:pPr>
        <w:ind w:left="4730" w:hanging="360"/>
      </w:pPr>
    </w:lvl>
    <w:lvl w:ilvl="7" w:tplc="04060019" w:tentative="1">
      <w:start w:val="1"/>
      <w:numFmt w:val="lowerLetter"/>
      <w:lvlText w:val="%8."/>
      <w:lvlJc w:val="left"/>
      <w:pPr>
        <w:ind w:left="5450" w:hanging="360"/>
      </w:pPr>
    </w:lvl>
    <w:lvl w:ilvl="8" w:tplc="040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0" w15:restartNumberingAfterBreak="0">
    <w:nsid w:val="5F79785C"/>
    <w:multiLevelType w:val="hybridMultilevel"/>
    <w:tmpl w:val="95CE7AF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571860"/>
    <w:multiLevelType w:val="hybridMultilevel"/>
    <w:tmpl w:val="903E240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5340DE"/>
    <w:multiLevelType w:val="hybridMultilevel"/>
    <w:tmpl w:val="67F8ED3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7B6836"/>
    <w:multiLevelType w:val="hybridMultilevel"/>
    <w:tmpl w:val="3D74DBDC"/>
    <w:lvl w:ilvl="0" w:tplc="7DFC95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FF0491"/>
    <w:multiLevelType w:val="hybridMultilevel"/>
    <w:tmpl w:val="81589E4C"/>
    <w:lvl w:ilvl="0" w:tplc="0406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5" w15:restartNumberingAfterBreak="0">
    <w:nsid w:val="6F19688A"/>
    <w:multiLevelType w:val="hybridMultilevel"/>
    <w:tmpl w:val="6A9EAC84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4AF1CC2"/>
    <w:multiLevelType w:val="hybridMultilevel"/>
    <w:tmpl w:val="383CA9C2"/>
    <w:lvl w:ilvl="0" w:tplc="78DE783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541F3D"/>
    <w:multiLevelType w:val="hybridMultilevel"/>
    <w:tmpl w:val="5770DDA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913F70"/>
    <w:multiLevelType w:val="hybridMultilevel"/>
    <w:tmpl w:val="55680A2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2765D6"/>
    <w:multiLevelType w:val="hybridMultilevel"/>
    <w:tmpl w:val="18E2F54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1393026">
    <w:abstractNumId w:val="5"/>
  </w:num>
  <w:num w:numId="2" w16cid:durableId="1693023807">
    <w:abstractNumId w:val="9"/>
  </w:num>
  <w:num w:numId="3" w16cid:durableId="21055635">
    <w:abstractNumId w:val="6"/>
  </w:num>
  <w:num w:numId="4" w16cid:durableId="1738893456">
    <w:abstractNumId w:val="21"/>
  </w:num>
  <w:num w:numId="5" w16cid:durableId="199243406">
    <w:abstractNumId w:val="19"/>
  </w:num>
  <w:num w:numId="6" w16cid:durableId="520708506">
    <w:abstractNumId w:val="26"/>
  </w:num>
  <w:num w:numId="7" w16cid:durableId="531840322">
    <w:abstractNumId w:val="22"/>
  </w:num>
  <w:num w:numId="8" w16cid:durableId="1867333181">
    <w:abstractNumId w:val="0"/>
  </w:num>
  <w:num w:numId="9" w16cid:durableId="38171366">
    <w:abstractNumId w:val="23"/>
  </w:num>
  <w:num w:numId="10" w16cid:durableId="927037712">
    <w:abstractNumId w:val="29"/>
  </w:num>
  <w:num w:numId="11" w16cid:durableId="199588779">
    <w:abstractNumId w:val="13"/>
  </w:num>
  <w:num w:numId="12" w16cid:durableId="8336287">
    <w:abstractNumId w:val="18"/>
  </w:num>
  <w:num w:numId="13" w16cid:durableId="1292900303">
    <w:abstractNumId w:val="27"/>
  </w:num>
  <w:num w:numId="14" w16cid:durableId="562373387">
    <w:abstractNumId w:val="17"/>
  </w:num>
  <w:num w:numId="15" w16cid:durableId="1840383086">
    <w:abstractNumId w:val="16"/>
  </w:num>
  <w:num w:numId="16" w16cid:durableId="395713737">
    <w:abstractNumId w:val="10"/>
  </w:num>
  <w:num w:numId="17" w16cid:durableId="763110794">
    <w:abstractNumId w:val="12"/>
  </w:num>
  <w:num w:numId="18" w16cid:durableId="1872642181">
    <w:abstractNumId w:val="4"/>
  </w:num>
  <w:num w:numId="19" w16cid:durableId="422268137">
    <w:abstractNumId w:val="8"/>
  </w:num>
  <w:num w:numId="20" w16cid:durableId="1812021123">
    <w:abstractNumId w:val="20"/>
  </w:num>
  <w:num w:numId="21" w16cid:durableId="1778257266">
    <w:abstractNumId w:val="28"/>
  </w:num>
  <w:num w:numId="22" w16cid:durableId="451703893">
    <w:abstractNumId w:val="7"/>
  </w:num>
  <w:num w:numId="23" w16cid:durableId="947274302">
    <w:abstractNumId w:val="3"/>
  </w:num>
  <w:num w:numId="24" w16cid:durableId="1548642818">
    <w:abstractNumId w:val="2"/>
  </w:num>
  <w:num w:numId="25" w16cid:durableId="1011180942">
    <w:abstractNumId w:val="24"/>
  </w:num>
  <w:num w:numId="26" w16cid:durableId="1948344224">
    <w:abstractNumId w:val="15"/>
  </w:num>
  <w:num w:numId="27" w16cid:durableId="1834640036">
    <w:abstractNumId w:val="1"/>
  </w:num>
  <w:num w:numId="28" w16cid:durableId="1932351151">
    <w:abstractNumId w:val="11"/>
  </w:num>
  <w:num w:numId="29" w16cid:durableId="1140421986">
    <w:abstractNumId w:val="14"/>
  </w:num>
  <w:num w:numId="30" w16cid:durableId="129475126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B09"/>
    <w:rsid w:val="00003A6C"/>
    <w:rsid w:val="000306C8"/>
    <w:rsid w:val="00041CF8"/>
    <w:rsid w:val="00043ACD"/>
    <w:rsid w:val="00044840"/>
    <w:rsid w:val="00080146"/>
    <w:rsid w:val="0008529C"/>
    <w:rsid w:val="0009585B"/>
    <w:rsid w:val="000E3578"/>
    <w:rsid w:val="00102924"/>
    <w:rsid w:val="00104CF4"/>
    <w:rsid w:val="00107D54"/>
    <w:rsid w:val="00122B9A"/>
    <w:rsid w:val="00125704"/>
    <w:rsid w:val="00135991"/>
    <w:rsid w:val="0015085F"/>
    <w:rsid w:val="001543B2"/>
    <w:rsid w:val="00160525"/>
    <w:rsid w:val="0016114C"/>
    <w:rsid w:val="00170962"/>
    <w:rsid w:val="00175A1E"/>
    <w:rsid w:val="001803B2"/>
    <w:rsid w:val="0018190D"/>
    <w:rsid w:val="001B0F08"/>
    <w:rsid w:val="001E733F"/>
    <w:rsid w:val="001F4D50"/>
    <w:rsid w:val="002038E3"/>
    <w:rsid w:val="0023262D"/>
    <w:rsid w:val="00233A93"/>
    <w:rsid w:val="00245599"/>
    <w:rsid w:val="00245858"/>
    <w:rsid w:val="00253F4E"/>
    <w:rsid w:val="002843F2"/>
    <w:rsid w:val="002905B2"/>
    <w:rsid w:val="00292408"/>
    <w:rsid w:val="00293CC0"/>
    <w:rsid w:val="00294EC0"/>
    <w:rsid w:val="002A2C86"/>
    <w:rsid w:val="002A7E0E"/>
    <w:rsid w:val="002C2C38"/>
    <w:rsid w:val="002D0595"/>
    <w:rsid w:val="00304FE2"/>
    <w:rsid w:val="00335FBB"/>
    <w:rsid w:val="00352BBA"/>
    <w:rsid w:val="003570A7"/>
    <w:rsid w:val="003626A8"/>
    <w:rsid w:val="00363C7B"/>
    <w:rsid w:val="00363CC9"/>
    <w:rsid w:val="00375774"/>
    <w:rsid w:val="00377512"/>
    <w:rsid w:val="003C70D6"/>
    <w:rsid w:val="003E0C38"/>
    <w:rsid w:val="003E728F"/>
    <w:rsid w:val="003E7386"/>
    <w:rsid w:val="003F5758"/>
    <w:rsid w:val="00401322"/>
    <w:rsid w:val="00417A73"/>
    <w:rsid w:val="00424769"/>
    <w:rsid w:val="00432BCF"/>
    <w:rsid w:val="0043698F"/>
    <w:rsid w:val="00455219"/>
    <w:rsid w:val="00465614"/>
    <w:rsid w:val="00475415"/>
    <w:rsid w:val="00484302"/>
    <w:rsid w:val="004900B2"/>
    <w:rsid w:val="004965C4"/>
    <w:rsid w:val="004A321D"/>
    <w:rsid w:val="004C011D"/>
    <w:rsid w:val="004C0F8D"/>
    <w:rsid w:val="00515C3D"/>
    <w:rsid w:val="00557C6B"/>
    <w:rsid w:val="00576C94"/>
    <w:rsid w:val="00577D5B"/>
    <w:rsid w:val="00581304"/>
    <w:rsid w:val="0059423D"/>
    <w:rsid w:val="0059612B"/>
    <w:rsid w:val="005B0B60"/>
    <w:rsid w:val="005D5074"/>
    <w:rsid w:val="005E16F6"/>
    <w:rsid w:val="005E1808"/>
    <w:rsid w:val="005E1FF2"/>
    <w:rsid w:val="005F00B1"/>
    <w:rsid w:val="0064527C"/>
    <w:rsid w:val="0066626C"/>
    <w:rsid w:val="006717E7"/>
    <w:rsid w:val="0067450A"/>
    <w:rsid w:val="00676865"/>
    <w:rsid w:val="00681172"/>
    <w:rsid w:val="006B5BDF"/>
    <w:rsid w:val="006D0BBB"/>
    <w:rsid w:val="006D3F5F"/>
    <w:rsid w:val="006E3B4D"/>
    <w:rsid w:val="006E5F8C"/>
    <w:rsid w:val="006E79E3"/>
    <w:rsid w:val="0071437E"/>
    <w:rsid w:val="00732FA3"/>
    <w:rsid w:val="00741174"/>
    <w:rsid w:val="0074288F"/>
    <w:rsid w:val="0074716D"/>
    <w:rsid w:val="00775F18"/>
    <w:rsid w:val="007802B3"/>
    <w:rsid w:val="00790590"/>
    <w:rsid w:val="007C099E"/>
    <w:rsid w:val="007E68DE"/>
    <w:rsid w:val="008053DC"/>
    <w:rsid w:val="00805836"/>
    <w:rsid w:val="00811DFC"/>
    <w:rsid w:val="008244C4"/>
    <w:rsid w:val="00833162"/>
    <w:rsid w:val="00841FB9"/>
    <w:rsid w:val="00844D0E"/>
    <w:rsid w:val="0084700A"/>
    <w:rsid w:val="0085059E"/>
    <w:rsid w:val="00876B67"/>
    <w:rsid w:val="008D2084"/>
    <w:rsid w:val="008F576A"/>
    <w:rsid w:val="008F58B1"/>
    <w:rsid w:val="008F7786"/>
    <w:rsid w:val="009102E6"/>
    <w:rsid w:val="00911F34"/>
    <w:rsid w:val="009213F5"/>
    <w:rsid w:val="009467E5"/>
    <w:rsid w:val="0096193D"/>
    <w:rsid w:val="00967DC5"/>
    <w:rsid w:val="00990A76"/>
    <w:rsid w:val="009A5FDF"/>
    <w:rsid w:val="009A6D88"/>
    <w:rsid w:val="009B4547"/>
    <w:rsid w:val="009E14E3"/>
    <w:rsid w:val="009E3384"/>
    <w:rsid w:val="009E5789"/>
    <w:rsid w:val="009E5E72"/>
    <w:rsid w:val="009E6F94"/>
    <w:rsid w:val="00A02491"/>
    <w:rsid w:val="00A05AB2"/>
    <w:rsid w:val="00A204D8"/>
    <w:rsid w:val="00A25662"/>
    <w:rsid w:val="00A344E5"/>
    <w:rsid w:val="00A3496C"/>
    <w:rsid w:val="00A51DCF"/>
    <w:rsid w:val="00A660D4"/>
    <w:rsid w:val="00A9295B"/>
    <w:rsid w:val="00AA601C"/>
    <w:rsid w:val="00AF3611"/>
    <w:rsid w:val="00AF6D1F"/>
    <w:rsid w:val="00B14D70"/>
    <w:rsid w:val="00B36B6E"/>
    <w:rsid w:val="00B47450"/>
    <w:rsid w:val="00B521A9"/>
    <w:rsid w:val="00B536F3"/>
    <w:rsid w:val="00B53A08"/>
    <w:rsid w:val="00B64359"/>
    <w:rsid w:val="00B9508B"/>
    <w:rsid w:val="00BB4412"/>
    <w:rsid w:val="00BB67A8"/>
    <w:rsid w:val="00BB6C1B"/>
    <w:rsid w:val="00BC5344"/>
    <w:rsid w:val="00BD5F5C"/>
    <w:rsid w:val="00BE40D5"/>
    <w:rsid w:val="00BE4D93"/>
    <w:rsid w:val="00BF193A"/>
    <w:rsid w:val="00BF61AB"/>
    <w:rsid w:val="00C02D61"/>
    <w:rsid w:val="00C15F08"/>
    <w:rsid w:val="00C21535"/>
    <w:rsid w:val="00C402CF"/>
    <w:rsid w:val="00C438D7"/>
    <w:rsid w:val="00C4676D"/>
    <w:rsid w:val="00C53ABB"/>
    <w:rsid w:val="00C66411"/>
    <w:rsid w:val="00C86657"/>
    <w:rsid w:val="00C87B3F"/>
    <w:rsid w:val="00C90A00"/>
    <w:rsid w:val="00C95D34"/>
    <w:rsid w:val="00CB0207"/>
    <w:rsid w:val="00CD64B1"/>
    <w:rsid w:val="00CE07E1"/>
    <w:rsid w:val="00CE33CA"/>
    <w:rsid w:val="00CF75F3"/>
    <w:rsid w:val="00D17094"/>
    <w:rsid w:val="00D23B0B"/>
    <w:rsid w:val="00D26EF6"/>
    <w:rsid w:val="00D3777B"/>
    <w:rsid w:val="00D725C1"/>
    <w:rsid w:val="00D84FD4"/>
    <w:rsid w:val="00DB2C60"/>
    <w:rsid w:val="00DC3F7D"/>
    <w:rsid w:val="00DD49D9"/>
    <w:rsid w:val="00DD72A4"/>
    <w:rsid w:val="00E2592B"/>
    <w:rsid w:val="00E340C3"/>
    <w:rsid w:val="00E66359"/>
    <w:rsid w:val="00E779BB"/>
    <w:rsid w:val="00EA291A"/>
    <w:rsid w:val="00EA5573"/>
    <w:rsid w:val="00EB1471"/>
    <w:rsid w:val="00EC274A"/>
    <w:rsid w:val="00F03102"/>
    <w:rsid w:val="00F54241"/>
    <w:rsid w:val="00F8010C"/>
    <w:rsid w:val="00F80449"/>
    <w:rsid w:val="00FA03A7"/>
    <w:rsid w:val="00FB0034"/>
    <w:rsid w:val="00FC02F3"/>
    <w:rsid w:val="00FD0D9A"/>
    <w:rsid w:val="00FD5B09"/>
    <w:rsid w:val="00FE3FA1"/>
    <w:rsid w:val="00FF2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E4FA7"/>
  <w15:chartTrackingRefBased/>
  <w15:docId w15:val="{FAB1BC20-3F5D-4021-90F9-DD11F2D42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725C1"/>
    <w:pPr>
      <w:keepNext/>
      <w:keepLines/>
      <w:spacing w:before="120" w:after="0" w:line="300" w:lineRule="atLeast"/>
      <w:outlineLvl w:val="0"/>
    </w:pPr>
    <w:rPr>
      <w:rFonts w:ascii="Verdana" w:eastAsiaTheme="majorEastAsia" w:hAnsi="Verdana" w:cstheme="majorBidi"/>
      <w:b/>
      <w:bCs/>
      <w:sz w:val="26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170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Default">
    <w:name w:val="Default"/>
    <w:rsid w:val="00FD5B0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-Gitter">
    <w:name w:val="Table Grid"/>
    <w:basedOn w:val="Tabel-Normal"/>
    <w:uiPriority w:val="39"/>
    <w:rsid w:val="00FD5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D5B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D5B09"/>
    <w:rPr>
      <w:rFonts w:ascii="Segoe UI" w:hAnsi="Segoe UI" w:cs="Segoe UI"/>
      <w:sz w:val="18"/>
      <w:szCs w:val="18"/>
    </w:rPr>
  </w:style>
  <w:style w:type="character" w:styleId="Hyperlink">
    <w:name w:val="Hyperlink"/>
    <w:basedOn w:val="Standardskrifttypeiafsnit"/>
    <w:uiPriority w:val="99"/>
    <w:unhideWhenUsed/>
    <w:rsid w:val="009A5FDF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9A5FDF"/>
    <w:rPr>
      <w:color w:val="605E5C"/>
      <w:shd w:val="clear" w:color="auto" w:fill="E1DFDD"/>
    </w:rPr>
  </w:style>
  <w:style w:type="paragraph" w:styleId="Listeafsnit">
    <w:name w:val="List Paragraph"/>
    <w:basedOn w:val="Normal"/>
    <w:uiPriority w:val="34"/>
    <w:qFormat/>
    <w:rsid w:val="00363C7B"/>
    <w:pPr>
      <w:ind w:left="720"/>
      <w:contextualSpacing/>
    </w:p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1709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D17094"/>
    <w:rPr>
      <w:rFonts w:ascii="Times New Roman" w:hAnsi="Times New Roman" w:cs="Times New Roman"/>
      <w:sz w:val="24"/>
      <w:szCs w:val="24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484302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484302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484302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484302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484302"/>
    <w:rPr>
      <w:b/>
      <w:bCs/>
      <w:sz w:val="20"/>
      <w:szCs w:val="20"/>
    </w:rPr>
  </w:style>
  <w:style w:type="paragraph" w:styleId="Sidehoved">
    <w:name w:val="header"/>
    <w:basedOn w:val="Normal"/>
    <w:link w:val="SidehovedTegn"/>
    <w:uiPriority w:val="99"/>
    <w:unhideWhenUsed/>
    <w:rsid w:val="004843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84302"/>
  </w:style>
  <w:style w:type="paragraph" w:styleId="Sidefod">
    <w:name w:val="footer"/>
    <w:basedOn w:val="Normal"/>
    <w:link w:val="SidefodTegn"/>
    <w:uiPriority w:val="99"/>
    <w:unhideWhenUsed/>
    <w:rsid w:val="0048430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84302"/>
  </w:style>
  <w:style w:type="character" w:customStyle="1" w:styleId="Overskrift1Tegn">
    <w:name w:val="Overskrift 1 Tegn"/>
    <w:basedOn w:val="Standardskrifttypeiafsnit"/>
    <w:link w:val="Overskrift1"/>
    <w:uiPriority w:val="9"/>
    <w:rsid w:val="00D725C1"/>
    <w:rPr>
      <w:rFonts w:ascii="Verdana" w:eastAsiaTheme="majorEastAsia" w:hAnsi="Verdana" w:cstheme="majorBidi"/>
      <w:b/>
      <w:bCs/>
      <w:sz w:val="26"/>
      <w:szCs w:val="28"/>
    </w:rPr>
  </w:style>
  <w:style w:type="character" w:styleId="BesgtLink">
    <w:name w:val="FollowedHyperlink"/>
    <w:basedOn w:val="Standardskrifttypeiafsnit"/>
    <w:uiPriority w:val="99"/>
    <w:semiHidden/>
    <w:unhideWhenUsed/>
    <w:rsid w:val="00681172"/>
    <w:rPr>
      <w:color w:val="954F72" w:themeColor="followedHyperlink"/>
      <w:u w:val="single"/>
    </w:rPr>
  </w:style>
  <w:style w:type="character" w:customStyle="1" w:styleId="reference">
    <w:name w:val="reference"/>
    <w:basedOn w:val="Standardskrifttypeiafsnit"/>
    <w:rsid w:val="00293CC0"/>
  </w:style>
  <w:style w:type="character" w:customStyle="1" w:styleId="reference-comma">
    <w:name w:val="reference-comma"/>
    <w:basedOn w:val="Standardskrifttypeiafsnit"/>
    <w:rsid w:val="00293CC0"/>
  </w:style>
  <w:style w:type="paragraph" w:styleId="Korrektur">
    <w:name w:val="Revision"/>
    <w:hidden/>
    <w:uiPriority w:val="99"/>
    <w:semiHidden/>
    <w:rsid w:val="009E14E3"/>
    <w:pPr>
      <w:spacing w:after="0" w:line="240" w:lineRule="auto"/>
    </w:pPr>
  </w:style>
  <w:style w:type="paragraph" w:styleId="Fodnotetekst">
    <w:name w:val="footnote text"/>
    <w:basedOn w:val="Normal"/>
    <w:link w:val="FodnotetekstTegn"/>
    <w:uiPriority w:val="99"/>
    <w:semiHidden/>
    <w:unhideWhenUsed/>
    <w:rsid w:val="00424769"/>
    <w:pPr>
      <w:spacing w:after="0" w:line="240" w:lineRule="auto"/>
    </w:pPr>
    <w:rPr>
      <w:rFonts w:ascii="Arial" w:hAnsi="Arial"/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424769"/>
    <w:rPr>
      <w:rFonts w:ascii="Arial" w:hAnsi="Arial"/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4247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5616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20090173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varportal.dk/portal/content/9375/18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varportal.dk/portal/procedure/10007/19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retsinformation.dk/eli/lta/2024/576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varportal.dk/portal/procedure/9743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stps.dk/nyheder/2022/maj/er-sonden-placeret-korrekt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retsinformation.dk/eli/retsinfo/2007/10241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43E4BDAE924344B8AC62BC420010C1" ma:contentTypeVersion="8" ma:contentTypeDescription="Opret et nyt dokument." ma:contentTypeScope="" ma:versionID="a3ea091a025eead5c644d1c85769755e">
  <xsd:schema xmlns:xsd="http://www.w3.org/2001/XMLSchema" xmlns:xs="http://www.w3.org/2001/XMLSchema" xmlns:p="http://schemas.microsoft.com/office/2006/metadata/properties" xmlns:ns3="349afb42-0405-4915-9863-988c6d739ce9" targetNamespace="http://schemas.microsoft.com/office/2006/metadata/properties" ma:root="true" ma:fieldsID="e07d580fe0ddc6691d0ce210fe47766f" ns3:_="">
    <xsd:import namespace="349afb42-0405-4915-9863-988c6d739ce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9afb42-0405-4915-9863-988c6d739c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5B94F8A-E3C0-4445-B526-9A88E9B669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9afb42-0405-4915-9863-988c6d739c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6F8B8B-CED3-4B3A-9B90-57D81A88D61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B2B1B05-FD2E-42B8-B6B3-173502B5024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FD5F2CC-B103-47D5-A725-EE27F1614F0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907</Words>
  <Characters>6009</Characters>
  <Application>Microsoft Office Word</Application>
  <DocSecurity>0</DocSecurity>
  <Lines>143</Lines>
  <Paragraphs>87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Grete Wedege</dc:creator>
  <cp:keywords/>
  <dc:description/>
  <cp:lastModifiedBy>Inge Jekes</cp:lastModifiedBy>
  <cp:revision>5</cp:revision>
  <dcterms:created xsi:type="dcterms:W3CDTF">2024-06-18T17:30:00Z</dcterms:created>
  <dcterms:modified xsi:type="dcterms:W3CDTF">2024-06-18T17:34:00Z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0x0101004443E4BDAE924344B8AC62BC420010C1</vt:lpwstr>
  </property>
  <property fmtid="{D5CDD505-2E9C-101B-9397-08002B2CF9AE}" pid="3" name="OfficeInstanceGUID">
    <vt:lpwstr>{8AD33204-5F7B-4821-93D6-17820EFE0671}</vt:lpwstr>
  </property>
</Properties>
</file>